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1AFFD" w14:textId="77777777" w:rsidR="00CF2456" w:rsidRDefault="00CF2456" w:rsidP="00CF2456">
      <w:pPr>
        <w:spacing w:after="0"/>
        <w:jc w:val="center"/>
        <w:rPr>
          <w:b/>
        </w:rPr>
      </w:pPr>
    </w:p>
    <w:p w14:paraId="4B5E470F" w14:textId="77777777" w:rsidR="00CF2456" w:rsidRPr="00CF2456" w:rsidRDefault="00CF2456" w:rsidP="00CF2456">
      <w:pPr>
        <w:spacing w:after="0"/>
        <w:jc w:val="center"/>
        <w:rPr>
          <w:b/>
        </w:rPr>
      </w:pPr>
      <w:r w:rsidRPr="00CF2456">
        <w:rPr>
          <w:b/>
        </w:rPr>
        <w:t>TARGETED STAKEHOLDER CONSULTATION 2022 RULE OF LAW REPORT</w:t>
      </w:r>
    </w:p>
    <w:p w14:paraId="78ABF9FF" w14:textId="7AD8F645" w:rsidR="00CF2456" w:rsidRDefault="00CF2456" w:rsidP="00CF2456">
      <w:pPr>
        <w:spacing w:after="0"/>
        <w:jc w:val="center"/>
        <w:rPr>
          <w:b/>
        </w:rPr>
      </w:pPr>
      <w:r w:rsidRPr="00CF2456">
        <w:rPr>
          <w:b/>
        </w:rPr>
        <w:t>UN HUMAN RIGHTS REGIONAL OFFICE FOR EUROPE (OHCHR)</w:t>
      </w:r>
    </w:p>
    <w:p w14:paraId="13A8D6E1" w14:textId="4B21270E" w:rsidR="0010323B" w:rsidRPr="0010323B" w:rsidRDefault="0010323B" w:rsidP="0010323B">
      <w:pPr>
        <w:spacing w:after="0"/>
        <w:rPr>
          <w:b/>
        </w:rPr>
      </w:pPr>
      <w:r w:rsidRPr="0010323B">
        <w:rPr>
          <w:b/>
        </w:rPr>
        <w:t>BELGIUM</w:t>
      </w:r>
      <w:r w:rsidR="00CF2456">
        <w:rPr>
          <w:b/>
        </w:rPr>
        <w:t xml:space="preserve"> REVIEW</w:t>
      </w:r>
    </w:p>
    <w:p w14:paraId="4F48362D" w14:textId="77777777" w:rsidR="0010323B" w:rsidRDefault="0010323B" w:rsidP="0010323B">
      <w:pPr>
        <w:pStyle w:val="Heading1"/>
        <w:pBdr>
          <w:top w:val="single" w:sz="4" w:space="1" w:color="auto"/>
        </w:pBdr>
        <w:spacing w:before="27"/>
        <w:ind w:hanging="464"/>
      </w:pPr>
    </w:p>
    <w:p w14:paraId="20533E48" w14:textId="77777777" w:rsidR="0010323B" w:rsidRDefault="0010323B" w:rsidP="0010323B">
      <w:pPr>
        <w:pStyle w:val="ListParagraph"/>
        <w:widowControl w:val="0"/>
        <w:numPr>
          <w:ilvl w:val="0"/>
          <w:numId w:val="6"/>
        </w:numPr>
        <w:shd w:val="clear" w:color="auto" w:fill="E7E6E6" w:themeFill="background2"/>
        <w:tabs>
          <w:tab w:val="left" w:pos="464"/>
          <w:tab w:val="left" w:pos="465"/>
        </w:tabs>
        <w:autoSpaceDE w:val="0"/>
        <w:autoSpaceDN w:val="0"/>
        <w:spacing w:before="77" w:after="0" w:line="240" w:lineRule="auto"/>
        <w:ind w:hanging="349"/>
        <w:contextualSpacing w:val="0"/>
        <w:rPr>
          <w:b/>
        </w:rPr>
      </w:pPr>
      <w:bookmarkStart w:id="0" w:name="I._Justice_System"/>
      <w:bookmarkEnd w:id="0"/>
      <w:r>
        <w:rPr>
          <w:b/>
        </w:rPr>
        <w:t>Justice</w:t>
      </w:r>
      <w:r>
        <w:rPr>
          <w:b/>
          <w:spacing w:val="-2"/>
        </w:rPr>
        <w:t xml:space="preserve"> </w:t>
      </w:r>
      <w:r>
        <w:rPr>
          <w:b/>
        </w:rPr>
        <w:t>System</w:t>
      </w:r>
    </w:p>
    <w:p w14:paraId="34891325" w14:textId="77777777" w:rsidR="0010323B" w:rsidRDefault="0010323B" w:rsidP="0010323B">
      <w:pPr>
        <w:pStyle w:val="Heading2"/>
        <w:numPr>
          <w:ilvl w:val="0"/>
          <w:numId w:val="5"/>
        </w:numPr>
        <w:tabs>
          <w:tab w:val="left" w:pos="543"/>
          <w:tab w:val="left" w:pos="544"/>
        </w:tabs>
        <w:spacing w:before="113"/>
      </w:pPr>
      <w:bookmarkStart w:id="1" w:name="A._Independence"/>
      <w:bookmarkEnd w:id="1"/>
      <w:r>
        <w:t>Independence</w:t>
      </w:r>
    </w:p>
    <w:p w14:paraId="443B344A" w14:textId="5D1422B7" w:rsidR="0010323B" w:rsidRPr="000555F3" w:rsidRDefault="000555F3" w:rsidP="000555F3">
      <w:pPr>
        <w:widowControl w:val="0"/>
        <w:tabs>
          <w:tab w:val="left" w:pos="1217"/>
        </w:tabs>
        <w:autoSpaceDE w:val="0"/>
        <w:autoSpaceDN w:val="0"/>
        <w:spacing w:before="120" w:after="0" w:line="240" w:lineRule="auto"/>
        <w:rPr>
          <w:i/>
        </w:rPr>
      </w:pPr>
      <w:r>
        <w:rPr>
          <w:i/>
        </w:rPr>
        <w:t xml:space="preserve">11. </w:t>
      </w:r>
      <w:r w:rsidR="0010323B" w:rsidRPr="000555F3">
        <w:rPr>
          <w:i/>
        </w:rPr>
        <w:t>Accessibility of courts (e.g. court fees, legal aid,</w:t>
      </w:r>
      <w:r w:rsidR="0010323B" w:rsidRPr="000555F3">
        <w:rPr>
          <w:i/>
          <w:spacing w:val="-4"/>
        </w:rPr>
        <w:t xml:space="preserve"> </w:t>
      </w:r>
      <w:r w:rsidR="0010323B" w:rsidRPr="000555F3">
        <w:rPr>
          <w:i/>
        </w:rPr>
        <w:t>language)</w:t>
      </w:r>
    </w:p>
    <w:p w14:paraId="057CE552" w14:textId="061E8227" w:rsidR="0010323B" w:rsidRPr="00E96E41" w:rsidRDefault="0014643B" w:rsidP="000555F3">
      <w:pPr>
        <w:widowControl w:val="0"/>
        <w:tabs>
          <w:tab w:val="left" w:pos="1217"/>
        </w:tabs>
        <w:autoSpaceDE w:val="0"/>
        <w:autoSpaceDN w:val="0"/>
        <w:spacing w:before="120" w:after="0" w:line="240" w:lineRule="auto"/>
        <w:jc w:val="both"/>
      </w:pPr>
      <w:r>
        <w:t xml:space="preserve">In </w:t>
      </w:r>
      <w:r w:rsidR="00AF02EB">
        <w:t xml:space="preserve">its Concluding Observations </w:t>
      </w:r>
      <w:r w:rsidR="00CF514D">
        <w:t>of</w:t>
      </w:r>
      <w:r w:rsidR="00AF02EB">
        <w:t xml:space="preserve"> August </w:t>
      </w:r>
      <w:r>
        <w:t>2021, the Committee against Torture welcomed the fact that the right to have access to a lawyer ha</w:t>
      </w:r>
      <w:r w:rsidR="00AF02EB">
        <w:t>d</w:t>
      </w:r>
      <w:r>
        <w:t xml:space="preserve"> been extended under the </w:t>
      </w:r>
      <w:proofErr w:type="spellStart"/>
      <w:r>
        <w:t>Salduz</w:t>
      </w:r>
      <w:proofErr w:type="spellEnd"/>
      <w:r>
        <w:t xml:space="preserve"> II Act</w:t>
      </w:r>
      <w:r w:rsidR="00AF02EB">
        <w:t>,</w:t>
      </w:r>
      <w:r>
        <w:t xml:space="preserve"> but expressed concern about reports that this right is still not upheld in practice. </w:t>
      </w:r>
      <w:r w:rsidR="00AF02EB">
        <w:t>The Committee noted that a</w:t>
      </w:r>
      <w:r>
        <w:t xml:space="preserve">ccording to article 47 </w:t>
      </w:r>
      <w:proofErr w:type="spellStart"/>
      <w:r>
        <w:t>bis</w:t>
      </w:r>
      <w:proofErr w:type="spellEnd"/>
      <w:r>
        <w:t xml:space="preserve"> of the Code of Criminal Procedure, the hearing </w:t>
      </w:r>
      <w:proofErr w:type="gramStart"/>
      <w:r>
        <w:t>may</w:t>
      </w:r>
      <w:proofErr w:type="gramEnd"/>
      <w:r>
        <w:t xml:space="preserve"> begin before the lawyer’s arrival, even though this could be challenged as a violation of the right of </w:t>
      </w:r>
      <w:r w:rsidR="000555F3">
        <w:t>defense</w:t>
      </w:r>
      <w:r>
        <w:t xml:space="preserve">. The Committee also </w:t>
      </w:r>
      <w:r w:rsidR="00AF02EB">
        <w:t>expressed regret</w:t>
      </w:r>
      <w:r>
        <w:t xml:space="preserve"> that persons under administrative arrest are not entitled to a lawyer, since the presence of counsel is a fundamental safeguard against ill-treatment by the police</w:t>
      </w:r>
      <w:r w:rsidR="00AF02EB">
        <w:t>. T</w:t>
      </w:r>
      <w:r>
        <w:t xml:space="preserve">he Committee recommended that Belgium adopt the necessary legislative and other measures to ensure that the scope of the right of access to a lawyer </w:t>
      </w:r>
      <w:proofErr w:type="gramStart"/>
      <w:r>
        <w:t>is extended</w:t>
      </w:r>
      <w:proofErr w:type="gramEnd"/>
      <w:r>
        <w:t xml:space="preserve"> to all forms of deprivation of liberty, including administrative arrest, and is always respected from the outset of deprivation of liberty (</w:t>
      </w:r>
      <w:hyperlink r:id="rId8" w:history="1">
        <w:r w:rsidRPr="00C36EAF">
          <w:rPr>
            <w:rStyle w:val="Hyperlink"/>
          </w:rPr>
          <w:t>CAT/C/BEL/CO/4</w:t>
        </w:r>
      </w:hyperlink>
      <w:r w:rsidR="007A202B">
        <w:rPr>
          <w:rStyle w:val="Hyperlink"/>
        </w:rPr>
        <w:t>,</w:t>
      </w:r>
      <w:r>
        <w:t xml:space="preserve"> para</w:t>
      </w:r>
      <w:r w:rsidR="00AF02EB">
        <w:t>s</w:t>
      </w:r>
      <w:r w:rsidR="007A202B">
        <w:t>.</w:t>
      </w:r>
      <w:r>
        <w:t xml:space="preserve"> </w:t>
      </w:r>
      <w:r w:rsidR="00AF02EB">
        <w:t>15-</w:t>
      </w:r>
      <w:r>
        <w:t>16)</w:t>
      </w:r>
      <w:bookmarkStart w:id="2" w:name="C._Efficiency_of_the_justice_system4F"/>
      <w:bookmarkEnd w:id="2"/>
      <w:r w:rsidR="008F2408">
        <w:t>.</w:t>
      </w:r>
    </w:p>
    <w:p w14:paraId="237634C9" w14:textId="77777777" w:rsidR="0010323B" w:rsidRDefault="0010323B" w:rsidP="0010323B">
      <w:pPr>
        <w:pStyle w:val="Heading2"/>
        <w:spacing w:before="33"/>
        <w:ind w:left="116" w:firstLine="0"/>
      </w:pPr>
    </w:p>
    <w:p w14:paraId="08D3CD21" w14:textId="77777777" w:rsidR="0010323B" w:rsidRDefault="0010323B" w:rsidP="0010323B">
      <w:pPr>
        <w:pStyle w:val="Heading2"/>
        <w:spacing w:before="33"/>
        <w:ind w:left="116" w:firstLine="0"/>
      </w:pPr>
      <w:r>
        <w:t>Other – please specify</w:t>
      </w:r>
    </w:p>
    <w:p w14:paraId="407110C1" w14:textId="77777777" w:rsidR="0010323B" w:rsidRDefault="0010323B" w:rsidP="0010323B">
      <w:pPr>
        <w:pStyle w:val="BodyText"/>
        <w:spacing w:before="7"/>
        <w:ind w:left="0" w:firstLine="0"/>
        <w:rPr>
          <w:b/>
        </w:rPr>
      </w:pPr>
    </w:p>
    <w:p w14:paraId="67470385" w14:textId="2C10D769" w:rsidR="007A202B" w:rsidRPr="007A202B" w:rsidRDefault="00B71709" w:rsidP="007A202B">
      <w:pPr>
        <w:pStyle w:val="BodyText"/>
        <w:spacing w:before="7"/>
        <w:ind w:left="0" w:firstLine="0"/>
        <w:jc w:val="both"/>
        <w:rPr>
          <w:i w:val="0"/>
        </w:rPr>
      </w:pPr>
      <w:proofErr w:type="gramStart"/>
      <w:r w:rsidRPr="00B71709">
        <w:rPr>
          <w:b/>
        </w:rPr>
        <w:t>Police violence and the immediate launch of thorough and impartial investigations</w:t>
      </w:r>
      <w:r w:rsidR="007A202B">
        <w:rPr>
          <w:b/>
        </w:rPr>
        <w:t xml:space="preserve"> </w:t>
      </w:r>
      <w:r w:rsidR="007A202B">
        <w:rPr>
          <w:i w:val="0"/>
        </w:rPr>
        <w:t xml:space="preserve">- </w:t>
      </w:r>
      <w:r w:rsidR="007A202B" w:rsidRPr="007A202B">
        <w:rPr>
          <w:i w:val="0"/>
        </w:rPr>
        <w:t>In their Concluding observations issued in 2021, the Committee against Torture (CAT Committee) and the Committee on the Elimination of Racial Discrimination (CERD Committee) both expressed concern at reports of deaths in police custody, the prevalence of ill-treatment and excessive use of force by the police, including against persons belonging to ethnic minorities, migrants and asylum seekers.</w:t>
      </w:r>
      <w:proofErr w:type="gramEnd"/>
      <w:r w:rsidR="007A202B" w:rsidRPr="007A202B">
        <w:rPr>
          <w:i w:val="0"/>
        </w:rPr>
        <w:t xml:space="preserve"> The CERD Committee </w:t>
      </w:r>
      <w:proofErr w:type="gramStart"/>
      <w:r w:rsidR="007A202B" w:rsidRPr="007A202B">
        <w:rPr>
          <w:i w:val="0"/>
        </w:rPr>
        <w:t>was alarmed</w:t>
      </w:r>
      <w:proofErr w:type="gramEnd"/>
      <w:r w:rsidR="007A202B" w:rsidRPr="007A202B">
        <w:rPr>
          <w:i w:val="0"/>
        </w:rPr>
        <w:t xml:space="preserve"> by reports that such violence and ill-treatment have intensified against the backdrop of monitoring compliance with the lockdown measures taken during the COVID-19 pandemic and recent anti-racism demonstrations. Similarly, the CAT Committee noted reports of excessive intervention by the police in public protests, as seen, for example, at the gatherings on 1 April and</w:t>
      </w:r>
      <w:r w:rsidR="00C91F2F">
        <w:rPr>
          <w:i w:val="0"/>
        </w:rPr>
        <w:t xml:space="preserve"> 1 May 2021 that were banned </w:t>
      </w:r>
      <w:proofErr w:type="gramStart"/>
      <w:r w:rsidR="00C91F2F">
        <w:rPr>
          <w:i w:val="0"/>
        </w:rPr>
        <w:t xml:space="preserve">on </w:t>
      </w:r>
      <w:bookmarkStart w:id="3" w:name="_GoBack"/>
      <w:bookmarkEnd w:id="3"/>
      <w:r w:rsidR="007A202B" w:rsidRPr="007A202B">
        <w:rPr>
          <w:i w:val="0"/>
        </w:rPr>
        <w:t>account</w:t>
      </w:r>
      <w:proofErr w:type="gramEnd"/>
      <w:r w:rsidR="007A202B" w:rsidRPr="007A202B">
        <w:rPr>
          <w:i w:val="0"/>
        </w:rPr>
        <w:t xml:space="preserve"> of the pandemic. Concern </w:t>
      </w:r>
      <w:proofErr w:type="gramStart"/>
      <w:r w:rsidR="007A202B" w:rsidRPr="007A202B">
        <w:rPr>
          <w:i w:val="0"/>
        </w:rPr>
        <w:t>was expressed</w:t>
      </w:r>
      <w:proofErr w:type="gramEnd"/>
      <w:r w:rsidR="007A202B" w:rsidRPr="007A202B">
        <w:rPr>
          <w:i w:val="0"/>
        </w:rPr>
        <w:t xml:space="preserve"> at the lightness of criminal penalties imposed, the very high proportion of suspended sentences and gaps in the application of the law on disciplinary action as well as the ineffectiveness of inquiries carried out by oversight bodies, in particular the Investigation Service of the Standing Committee for Police Oversight. The judicial mechanism known as “autonomous police processing” was another source of concern for </w:t>
      </w:r>
      <w:r w:rsidR="00CF514D">
        <w:rPr>
          <w:i w:val="0"/>
        </w:rPr>
        <w:t xml:space="preserve">the </w:t>
      </w:r>
      <w:r w:rsidR="007A202B" w:rsidRPr="007A202B">
        <w:rPr>
          <w:i w:val="0"/>
        </w:rPr>
        <w:t>CAT Committee, as it allows the police to conduct a preliminary inquiry through to its conclusion without the involvement of the public prosecutor’s office and has the effect of reducing judicial oversight in such cases. There were also concerns that some police officers are not meeting their obligation to be identifiable and are able to escape prosecution as a result (</w:t>
      </w:r>
      <w:hyperlink r:id="rId9" w:history="1">
        <w:r w:rsidR="007A202B" w:rsidRPr="007A202B">
          <w:rPr>
            <w:rStyle w:val="Hyperlink"/>
            <w:i w:val="0"/>
          </w:rPr>
          <w:t>CAT/C/BEL/CO/4</w:t>
        </w:r>
      </w:hyperlink>
      <w:r w:rsidR="007A202B" w:rsidRPr="007A202B">
        <w:rPr>
          <w:i w:val="0"/>
          <w:u w:val="single"/>
        </w:rPr>
        <w:t>,</w:t>
      </w:r>
      <w:r w:rsidR="007A202B" w:rsidRPr="007A202B">
        <w:rPr>
          <w:i w:val="0"/>
        </w:rPr>
        <w:t xml:space="preserve"> para. 7; </w:t>
      </w:r>
      <w:hyperlink r:id="rId10" w:history="1">
        <w:r w:rsidR="007A202B" w:rsidRPr="007A202B">
          <w:rPr>
            <w:rStyle w:val="Hyperlink"/>
            <w:i w:val="0"/>
          </w:rPr>
          <w:t>CERD/C/BEL/CO/20-22</w:t>
        </w:r>
      </w:hyperlink>
      <w:r w:rsidR="008F2408">
        <w:rPr>
          <w:rStyle w:val="Hyperlink"/>
          <w:i w:val="0"/>
        </w:rPr>
        <w:t>,</w:t>
      </w:r>
      <w:r w:rsidR="007A202B" w:rsidRPr="007A202B">
        <w:rPr>
          <w:i w:val="0"/>
        </w:rPr>
        <w:t xml:space="preserve"> para. 13). </w:t>
      </w:r>
    </w:p>
    <w:p w14:paraId="7F5124D6" w14:textId="77777777" w:rsidR="007A202B" w:rsidRDefault="007A202B" w:rsidP="007A202B">
      <w:pPr>
        <w:pStyle w:val="BodyText"/>
        <w:spacing w:before="7"/>
        <w:ind w:left="0" w:firstLine="0"/>
        <w:jc w:val="both"/>
        <w:rPr>
          <w:i w:val="0"/>
        </w:rPr>
      </w:pPr>
    </w:p>
    <w:p w14:paraId="1C231E3D" w14:textId="6842D276" w:rsidR="007A202B" w:rsidRPr="00386F77" w:rsidRDefault="007A202B" w:rsidP="007A202B">
      <w:pPr>
        <w:pStyle w:val="BodyText"/>
        <w:spacing w:before="7"/>
        <w:ind w:left="0" w:firstLine="0"/>
        <w:jc w:val="both"/>
        <w:rPr>
          <w:i w:val="0"/>
        </w:rPr>
      </w:pPr>
      <w:r>
        <w:rPr>
          <w:i w:val="0"/>
        </w:rPr>
        <w:t xml:space="preserve">Under the </w:t>
      </w:r>
      <w:r w:rsidRPr="00386F77">
        <w:rPr>
          <w:i w:val="0"/>
        </w:rPr>
        <w:t>Universal Periodic Review</w:t>
      </w:r>
      <w:r>
        <w:rPr>
          <w:i w:val="0"/>
        </w:rPr>
        <w:t xml:space="preserve"> in 2021</w:t>
      </w:r>
      <w:r w:rsidRPr="00386F77">
        <w:rPr>
          <w:i w:val="0"/>
        </w:rPr>
        <w:t xml:space="preserve">, </w:t>
      </w:r>
      <w:r>
        <w:rPr>
          <w:i w:val="0"/>
        </w:rPr>
        <w:t>Belgium</w:t>
      </w:r>
      <w:r w:rsidRPr="00386F77">
        <w:rPr>
          <w:i w:val="0"/>
        </w:rPr>
        <w:t xml:space="preserve"> supported recommendations to investigate reports of unlawful use of force, including racially motivated violence, by law enforcement officials and bring tho</w:t>
      </w:r>
      <w:r>
        <w:rPr>
          <w:i w:val="0"/>
        </w:rPr>
        <w:t xml:space="preserve">se responsible to justice </w:t>
      </w:r>
      <w:hyperlink r:id="rId11" w:history="1">
        <w:r w:rsidRPr="005D58F6">
          <w:rPr>
            <w:rStyle w:val="Hyperlink"/>
            <w:i w:val="0"/>
          </w:rPr>
          <w:t>(A/HRC/48/8</w:t>
        </w:r>
        <w:r w:rsidR="005D58F6">
          <w:rPr>
            <w:rStyle w:val="Hyperlink"/>
            <w:i w:val="0"/>
          </w:rPr>
          <w:t>/</w:t>
        </w:r>
        <w:r w:rsidR="005D58F6" w:rsidRPr="005D58F6">
          <w:rPr>
            <w:rStyle w:val="Hyperlink"/>
            <w:i w:val="0"/>
          </w:rPr>
          <w:t>Add1</w:t>
        </w:r>
      </w:hyperlink>
      <w:r>
        <w:rPr>
          <w:i w:val="0"/>
        </w:rPr>
        <w:t>).</w:t>
      </w:r>
    </w:p>
    <w:p w14:paraId="35561A53" w14:textId="5497802D" w:rsidR="00386F77" w:rsidRDefault="00386F77" w:rsidP="005D58F6">
      <w:pPr>
        <w:pStyle w:val="BodyText"/>
        <w:spacing w:before="7"/>
        <w:ind w:left="0" w:firstLine="0"/>
        <w:jc w:val="both"/>
        <w:rPr>
          <w:i w:val="0"/>
        </w:rPr>
      </w:pPr>
    </w:p>
    <w:p w14:paraId="2D9C15EB" w14:textId="77777777" w:rsidR="008F2408" w:rsidRDefault="008F2408" w:rsidP="007A202B">
      <w:pPr>
        <w:widowControl w:val="0"/>
        <w:tabs>
          <w:tab w:val="left" w:pos="1216"/>
        </w:tabs>
        <w:autoSpaceDE w:val="0"/>
        <w:autoSpaceDN w:val="0"/>
        <w:spacing w:before="113" w:after="0" w:line="240" w:lineRule="auto"/>
        <w:ind w:right="108"/>
        <w:jc w:val="both"/>
        <w:rPr>
          <w:b/>
          <w:i/>
        </w:rPr>
      </w:pPr>
    </w:p>
    <w:p w14:paraId="007C5D81" w14:textId="77777777" w:rsidR="00022BB5" w:rsidRDefault="00022BB5" w:rsidP="007A202B">
      <w:pPr>
        <w:widowControl w:val="0"/>
        <w:tabs>
          <w:tab w:val="left" w:pos="1216"/>
        </w:tabs>
        <w:autoSpaceDE w:val="0"/>
        <w:autoSpaceDN w:val="0"/>
        <w:spacing w:before="113" w:after="0" w:line="240" w:lineRule="auto"/>
        <w:ind w:right="108"/>
        <w:jc w:val="both"/>
        <w:rPr>
          <w:b/>
          <w:i/>
        </w:rPr>
      </w:pPr>
    </w:p>
    <w:p w14:paraId="7CDA1042" w14:textId="59613007" w:rsidR="0014643B" w:rsidRPr="00AF02EB" w:rsidRDefault="00AF02EB" w:rsidP="007A202B">
      <w:pPr>
        <w:widowControl w:val="0"/>
        <w:tabs>
          <w:tab w:val="left" w:pos="1216"/>
        </w:tabs>
        <w:autoSpaceDE w:val="0"/>
        <w:autoSpaceDN w:val="0"/>
        <w:spacing w:before="113" w:after="0" w:line="240" w:lineRule="auto"/>
        <w:ind w:right="108"/>
        <w:jc w:val="both"/>
        <w:rPr>
          <w:i/>
        </w:rPr>
      </w:pPr>
      <w:proofErr w:type="gramStart"/>
      <w:r>
        <w:rPr>
          <w:b/>
          <w:i/>
        </w:rPr>
        <w:lastRenderedPageBreak/>
        <w:t>Detention conditions and administration of justice for detainees</w:t>
      </w:r>
      <w:r w:rsidR="007A202B">
        <w:rPr>
          <w:b/>
          <w:i/>
        </w:rPr>
        <w:t xml:space="preserve"> </w:t>
      </w:r>
      <w:r w:rsidR="007A202B">
        <w:rPr>
          <w:b/>
        </w:rPr>
        <w:t xml:space="preserve">- </w:t>
      </w:r>
      <w:r>
        <w:t>In its concluding observations issued in August 2021, the Committee against Torture noted with concern that overcrowding persists in prisons, with wide variations between prisons, reportedly due to</w:t>
      </w:r>
      <w:r w:rsidR="00743118">
        <w:t>,</w:t>
      </w:r>
      <w:r>
        <w:t xml:space="preserve"> inter alia</w:t>
      </w:r>
      <w:r w:rsidR="00743118">
        <w:t>,</w:t>
      </w:r>
      <w:r>
        <w:t xml:space="preserve"> the increase of persons in pretrial detention, the aggregating and lengthening of sentences, and the limited and delayed use of parole and the lack of other non-custodial alternatives.</w:t>
      </w:r>
      <w:proofErr w:type="gramEnd"/>
      <w:r>
        <w:t xml:space="preserve"> </w:t>
      </w:r>
      <w:proofErr w:type="gramStart"/>
      <w:r>
        <w:t xml:space="preserve">The Committee urged Belgium to intensify efforts to significantly reduce prison overcrowding, by limiting prison admissions and making greater use of non-custodial measures, </w:t>
      </w:r>
      <w:r w:rsidR="0086796D">
        <w:t>to assess the use of pretrial detention, to continue the reform of criminal law and procedure with a view to ensuring that prison sentences are imposed only</w:t>
      </w:r>
      <w:r w:rsidR="008F2408">
        <w:t xml:space="preserve"> as a last resort (</w:t>
      </w:r>
      <w:hyperlink r:id="rId12" w:history="1">
        <w:r w:rsidR="008F2408" w:rsidRPr="008F2408">
          <w:rPr>
            <w:rStyle w:val="Hyperlink"/>
          </w:rPr>
          <w:t>CAT/C/BEL/CO/4</w:t>
        </w:r>
      </w:hyperlink>
      <w:r w:rsidR="0086796D">
        <w:t>, paras. 17-18).</w:t>
      </w:r>
      <w:proofErr w:type="gramEnd"/>
      <w:r w:rsidR="008F2408" w:rsidRPr="008F2408">
        <w:t xml:space="preserve"> </w:t>
      </w:r>
    </w:p>
    <w:p w14:paraId="54AEB1C8" w14:textId="77777777" w:rsidR="00AF02EB" w:rsidRDefault="00AF02EB" w:rsidP="007A202B">
      <w:pPr>
        <w:pStyle w:val="BodyText"/>
        <w:spacing w:before="7"/>
        <w:ind w:left="0" w:firstLine="0"/>
        <w:jc w:val="both"/>
        <w:rPr>
          <w:i w:val="0"/>
        </w:rPr>
      </w:pPr>
    </w:p>
    <w:p w14:paraId="598D9E5C" w14:textId="4734F926" w:rsidR="00B71709" w:rsidRPr="007A202B" w:rsidRDefault="00E165B2" w:rsidP="007A202B">
      <w:pPr>
        <w:pStyle w:val="BodyText"/>
        <w:spacing w:before="7"/>
        <w:ind w:left="0" w:firstLine="0"/>
        <w:jc w:val="both"/>
        <w:rPr>
          <w:b/>
          <w:i w:val="0"/>
        </w:rPr>
      </w:pPr>
      <w:r w:rsidRPr="00E165B2">
        <w:rPr>
          <w:b/>
        </w:rPr>
        <w:t>Counter-terrorism</w:t>
      </w:r>
      <w:r w:rsidR="007A202B">
        <w:rPr>
          <w:b/>
          <w:i w:val="0"/>
        </w:rPr>
        <w:t xml:space="preserve"> - </w:t>
      </w:r>
      <w:r w:rsidR="007A202B">
        <w:rPr>
          <w:i w:val="0"/>
        </w:rPr>
        <w:t>T</w:t>
      </w:r>
      <w:r>
        <w:rPr>
          <w:i w:val="0"/>
        </w:rPr>
        <w:t xml:space="preserve">he </w:t>
      </w:r>
      <w:r w:rsidRPr="00E165B2">
        <w:rPr>
          <w:i w:val="0"/>
        </w:rPr>
        <w:t xml:space="preserve">Committee </w:t>
      </w:r>
      <w:r>
        <w:rPr>
          <w:i w:val="0"/>
        </w:rPr>
        <w:t>against Torture noted</w:t>
      </w:r>
      <w:r w:rsidRPr="00E165B2">
        <w:rPr>
          <w:i w:val="0"/>
        </w:rPr>
        <w:t xml:space="preserve"> w</w:t>
      </w:r>
      <w:r>
        <w:rPr>
          <w:i w:val="0"/>
        </w:rPr>
        <w:t xml:space="preserve">ith concern the adoption of new </w:t>
      </w:r>
      <w:r w:rsidRPr="00E165B2">
        <w:rPr>
          <w:i w:val="0"/>
        </w:rPr>
        <w:t>investigative methods in the case of terrorist offences, such as the possibility of conducting searches at any time of day or night and the use of civilian infiltration. It also notes with concern the use of the vaguely defined co</w:t>
      </w:r>
      <w:r w:rsidR="007A202B">
        <w:rPr>
          <w:i w:val="0"/>
        </w:rPr>
        <w:t xml:space="preserve">ncept of radicalization to </w:t>
      </w:r>
      <w:r w:rsidRPr="00E165B2">
        <w:rPr>
          <w:i w:val="0"/>
        </w:rPr>
        <w:t>manage terroris</w:t>
      </w:r>
      <w:r w:rsidR="00C41996">
        <w:rPr>
          <w:i w:val="0"/>
        </w:rPr>
        <w:t xml:space="preserve">t threats preventively through </w:t>
      </w:r>
      <w:r w:rsidR="007A202B">
        <w:rPr>
          <w:i w:val="0"/>
        </w:rPr>
        <w:t xml:space="preserve">exceptional measures and </w:t>
      </w:r>
      <w:r w:rsidRPr="00E165B2">
        <w:rPr>
          <w:i w:val="0"/>
        </w:rPr>
        <w:t>place “radicalized” prisoner</w:t>
      </w:r>
      <w:r>
        <w:rPr>
          <w:i w:val="0"/>
        </w:rPr>
        <w:t>s under a security regime or in “</w:t>
      </w:r>
      <w:proofErr w:type="spellStart"/>
      <w:r>
        <w:rPr>
          <w:i w:val="0"/>
        </w:rPr>
        <w:t>D-</w:t>
      </w:r>
      <w:r w:rsidRPr="00E165B2">
        <w:rPr>
          <w:i w:val="0"/>
        </w:rPr>
        <w:t>Rad:Ex</w:t>
      </w:r>
      <w:proofErr w:type="spellEnd"/>
      <w:r w:rsidRPr="00E165B2">
        <w:rPr>
          <w:i w:val="0"/>
        </w:rPr>
        <w:t>” (</w:t>
      </w:r>
      <w:proofErr w:type="spellStart"/>
      <w:r w:rsidRPr="00E165B2">
        <w:rPr>
          <w:i w:val="0"/>
        </w:rPr>
        <w:t>deradicalization</w:t>
      </w:r>
      <w:proofErr w:type="spellEnd"/>
      <w:r w:rsidRPr="00E165B2">
        <w:rPr>
          <w:i w:val="0"/>
        </w:rPr>
        <w:t>) wings, subject to considerable rest</w:t>
      </w:r>
      <w:r>
        <w:rPr>
          <w:i w:val="0"/>
        </w:rPr>
        <w:t xml:space="preserve">rictions, without a hearing or </w:t>
      </w:r>
      <w:r w:rsidRPr="00E165B2">
        <w:rPr>
          <w:i w:val="0"/>
        </w:rPr>
        <w:t>the opportunity t</w:t>
      </w:r>
      <w:r w:rsidR="007A202B">
        <w:rPr>
          <w:i w:val="0"/>
        </w:rPr>
        <w:t xml:space="preserve">o seek a review of the decision </w:t>
      </w:r>
      <w:r w:rsidR="00C41996">
        <w:rPr>
          <w:i w:val="0"/>
        </w:rPr>
        <w:t>(</w:t>
      </w:r>
      <w:hyperlink r:id="rId13" w:history="1">
        <w:r w:rsidR="00C41996" w:rsidRPr="00C36EAF">
          <w:rPr>
            <w:rStyle w:val="Hyperlink"/>
            <w:i w:val="0"/>
          </w:rPr>
          <w:t>CAT/C/BEL/CO/4</w:t>
        </w:r>
      </w:hyperlink>
      <w:r w:rsidR="007A202B">
        <w:rPr>
          <w:rStyle w:val="Hyperlink"/>
          <w:i w:val="0"/>
        </w:rPr>
        <w:t>,</w:t>
      </w:r>
      <w:r w:rsidR="00C41996">
        <w:rPr>
          <w:i w:val="0"/>
        </w:rPr>
        <w:t xml:space="preserve"> para</w:t>
      </w:r>
      <w:r w:rsidR="007A202B">
        <w:rPr>
          <w:i w:val="0"/>
        </w:rPr>
        <w:t>.</w:t>
      </w:r>
      <w:r w:rsidR="00C41996">
        <w:rPr>
          <w:i w:val="0"/>
        </w:rPr>
        <w:t xml:space="preserve"> 23)</w:t>
      </w:r>
      <w:r w:rsidR="007A202B">
        <w:rPr>
          <w:i w:val="0"/>
        </w:rPr>
        <w:t>.</w:t>
      </w:r>
    </w:p>
    <w:p w14:paraId="75EE587C" w14:textId="77777777" w:rsidR="0010323B" w:rsidRDefault="0010323B" w:rsidP="0010323B">
      <w:pPr>
        <w:pStyle w:val="BodyText"/>
        <w:spacing w:before="10"/>
        <w:ind w:left="0" w:firstLine="0"/>
        <w:rPr>
          <w:b/>
          <w:sz w:val="31"/>
        </w:rPr>
      </w:pPr>
      <w:bookmarkStart w:id="4" w:name="A._The_institutional_framework_capacity_"/>
      <w:bookmarkEnd w:id="4"/>
    </w:p>
    <w:p w14:paraId="206CC633" w14:textId="77777777" w:rsidR="0010323B" w:rsidRDefault="0010323B" w:rsidP="0010323B">
      <w:pPr>
        <w:pStyle w:val="BodyText"/>
        <w:spacing w:before="8"/>
        <w:ind w:left="0" w:firstLine="0"/>
        <w:rPr>
          <w:b/>
          <w:sz w:val="20"/>
        </w:rPr>
      </w:pPr>
      <w:bookmarkStart w:id="5" w:name="III._Media_pluralism"/>
      <w:bookmarkEnd w:id="5"/>
    </w:p>
    <w:p w14:paraId="07FC476E" w14:textId="77777777" w:rsidR="0010323B" w:rsidRDefault="0010323B" w:rsidP="0010323B">
      <w:pPr>
        <w:pStyle w:val="ListParagraph"/>
        <w:widowControl w:val="0"/>
        <w:numPr>
          <w:ilvl w:val="0"/>
          <w:numId w:val="6"/>
        </w:numPr>
        <w:shd w:val="clear" w:color="auto" w:fill="E7E6E6" w:themeFill="background2"/>
        <w:tabs>
          <w:tab w:val="left" w:pos="838"/>
        </w:tabs>
        <w:autoSpaceDE w:val="0"/>
        <w:autoSpaceDN w:val="0"/>
        <w:spacing w:after="0" w:line="240" w:lineRule="auto"/>
        <w:ind w:left="837" w:hanging="721"/>
        <w:contextualSpacing w:val="0"/>
        <w:jc w:val="both"/>
        <w:rPr>
          <w:b/>
        </w:rPr>
      </w:pPr>
      <w:bookmarkStart w:id="6" w:name="IV._Other_institutional_issues_related_t"/>
      <w:bookmarkStart w:id="7" w:name="A._The_process_for_preparing_and_enactin"/>
      <w:bookmarkEnd w:id="6"/>
      <w:bookmarkEnd w:id="7"/>
      <w:r>
        <w:rPr>
          <w:b/>
        </w:rPr>
        <w:t>Other institutional issues related to checks and</w:t>
      </w:r>
      <w:r>
        <w:rPr>
          <w:b/>
          <w:spacing w:val="-4"/>
        </w:rPr>
        <w:t xml:space="preserve"> </w:t>
      </w:r>
      <w:r>
        <w:rPr>
          <w:b/>
        </w:rPr>
        <w:t>balances</w:t>
      </w:r>
    </w:p>
    <w:p w14:paraId="46449866" w14:textId="261FA49C" w:rsidR="0010323B" w:rsidRDefault="00E96E41" w:rsidP="00E96E41">
      <w:pPr>
        <w:pStyle w:val="Heading2"/>
        <w:tabs>
          <w:tab w:val="left" w:pos="543"/>
          <w:tab w:val="left" w:pos="544"/>
        </w:tabs>
        <w:spacing w:before="126"/>
      </w:pPr>
      <w:bookmarkStart w:id="8" w:name="B._Independent_authorities"/>
      <w:bookmarkEnd w:id="8"/>
      <w:r w:rsidRPr="00E96E41">
        <w:rPr>
          <w:b w:val="0"/>
          <w:bCs w:val="0"/>
          <w:i w:val="0"/>
        </w:rPr>
        <w:t>B.</w:t>
      </w:r>
      <w:r>
        <w:t xml:space="preserve"> </w:t>
      </w:r>
      <w:r w:rsidR="0010323B">
        <w:t>Independent</w:t>
      </w:r>
      <w:r w:rsidR="0010323B">
        <w:rPr>
          <w:spacing w:val="-3"/>
        </w:rPr>
        <w:t xml:space="preserve"> </w:t>
      </w:r>
      <w:r w:rsidR="0010323B">
        <w:t>authorities</w:t>
      </w:r>
    </w:p>
    <w:p w14:paraId="5B4D0BE4" w14:textId="0CBF88B8" w:rsidR="005869D2" w:rsidRDefault="00E96E41" w:rsidP="005869D2">
      <w:pPr>
        <w:widowControl w:val="0"/>
        <w:tabs>
          <w:tab w:val="left" w:pos="1216"/>
        </w:tabs>
        <w:autoSpaceDE w:val="0"/>
        <w:autoSpaceDN w:val="0"/>
        <w:spacing w:before="113" w:after="0" w:line="240" w:lineRule="auto"/>
        <w:ind w:right="108"/>
        <w:jc w:val="both"/>
        <w:rPr>
          <w:i/>
        </w:rPr>
      </w:pPr>
      <w:r>
        <w:rPr>
          <w:i/>
        </w:rPr>
        <w:t xml:space="preserve">36. </w:t>
      </w:r>
      <w:r w:rsidR="0010323B" w:rsidRPr="00E96E41">
        <w:rPr>
          <w:i/>
        </w:rPr>
        <w:t>Independence, capacity and powers of national human rights institutions (‘NHRIs’), of ombudsman institutions if different from NHRIs, of equality bodies if different from NHRIs and of supreme audit institutions</w:t>
      </w:r>
      <w:r w:rsidR="0010323B">
        <w:rPr>
          <w:rStyle w:val="FootnoteReference"/>
          <w:i/>
        </w:rPr>
        <w:footnoteReference w:id="1"/>
      </w:r>
    </w:p>
    <w:p w14:paraId="4012B362" w14:textId="5EAF4454" w:rsidR="005869D2" w:rsidRDefault="005869D2" w:rsidP="005869D2">
      <w:pPr>
        <w:widowControl w:val="0"/>
        <w:tabs>
          <w:tab w:val="left" w:pos="1216"/>
        </w:tabs>
        <w:autoSpaceDE w:val="0"/>
        <w:autoSpaceDN w:val="0"/>
        <w:spacing w:before="113" w:after="0" w:line="240" w:lineRule="auto"/>
        <w:ind w:right="108"/>
        <w:jc w:val="both"/>
      </w:pPr>
      <w:proofErr w:type="gramStart"/>
      <w:r w:rsidRPr="005869D2">
        <w:t xml:space="preserve">In </w:t>
      </w:r>
      <w:r w:rsidR="0086796D">
        <w:t xml:space="preserve">its Concluding observations of </w:t>
      </w:r>
      <w:r w:rsidRPr="005869D2">
        <w:t>May 2021, the Committee on the Elimination of Racial Discrimination expressed concern at the limited mandate of the Federal Institute for the Protection and Promotion of Human Rights, covering only the fundamental rights that come under federal jurisdiction and not able to consider issues dealt with by sectoral institutions for the promotion and protection of human rights.</w:t>
      </w:r>
      <w:proofErr w:type="gramEnd"/>
      <w:r w:rsidRPr="005869D2">
        <w:t xml:space="preserve"> </w:t>
      </w:r>
      <w:r>
        <w:t xml:space="preserve">Concern </w:t>
      </w:r>
      <w:proofErr w:type="gramStart"/>
      <w:r>
        <w:t>was also expressed</w:t>
      </w:r>
      <w:proofErr w:type="gramEnd"/>
      <w:r>
        <w:t xml:space="preserve"> </w:t>
      </w:r>
      <w:r w:rsidRPr="005869D2">
        <w:t xml:space="preserve">about the decision of the Flemish government to withdraw in 2023 from the cooperation agreement between the federal State, the communities and the regions on the establishment and operation of </w:t>
      </w:r>
      <w:proofErr w:type="spellStart"/>
      <w:r w:rsidRPr="005869D2">
        <w:t>Unia</w:t>
      </w:r>
      <w:proofErr w:type="spellEnd"/>
      <w:r w:rsidRPr="005869D2">
        <w:t xml:space="preserve">, in order to create its own anti-discrimination institution in Flanders. </w:t>
      </w:r>
      <w:proofErr w:type="gramStart"/>
      <w:r w:rsidRPr="005869D2">
        <w:t xml:space="preserve">The Committee recommended that Belgium adopt the necessary measures, in consultation with civil society and other stakeholders, to bring the </w:t>
      </w:r>
      <w:r w:rsidR="009D11F8" w:rsidRPr="005869D2">
        <w:t>Federal Institute for the Protection and Promotion of Human Rights</w:t>
      </w:r>
      <w:r w:rsidRPr="005869D2">
        <w:t xml:space="preserve"> into full compliance with the principles relating to the status of national institutions for the promotion and protection of human rights (the Paris Principles), particularly by ensuring that its mandate covers all human rights throughout the territory of Belgium, including at the federal and regional levels.</w:t>
      </w:r>
      <w:proofErr w:type="gramEnd"/>
      <w:r w:rsidRPr="005869D2">
        <w:t xml:space="preserve"> It also recommend</w:t>
      </w:r>
      <w:r w:rsidR="009D11F8">
        <w:t>ed</w:t>
      </w:r>
      <w:r w:rsidRPr="005869D2">
        <w:t xml:space="preserve"> that the Institute </w:t>
      </w:r>
      <w:proofErr w:type="gramStart"/>
      <w:r w:rsidRPr="005869D2">
        <w:t>be given</w:t>
      </w:r>
      <w:proofErr w:type="gramEnd"/>
      <w:r w:rsidRPr="005869D2">
        <w:t xml:space="preserve"> the mandate to receive and handle individual complaints, including cases of language discrimination against minorities, and that it be allocated sufficient human and financial resources to e</w:t>
      </w:r>
      <w:r w:rsidR="009D11F8">
        <w:t xml:space="preserve">nable it to fulfil its mandates. </w:t>
      </w:r>
      <w:r w:rsidR="009D11F8" w:rsidRPr="009D11F8">
        <w:rPr>
          <w:bCs/>
        </w:rPr>
        <w:t xml:space="preserve">Belgium </w:t>
      </w:r>
      <w:proofErr w:type="gramStart"/>
      <w:r w:rsidR="009D11F8" w:rsidRPr="009D11F8">
        <w:rPr>
          <w:bCs/>
        </w:rPr>
        <w:t>was also recommended</w:t>
      </w:r>
      <w:proofErr w:type="gramEnd"/>
      <w:r w:rsidR="009D11F8" w:rsidRPr="009D11F8">
        <w:rPr>
          <w:bCs/>
        </w:rPr>
        <w:t xml:space="preserve"> to ensure consolidation and strengthening of the work of </w:t>
      </w:r>
      <w:proofErr w:type="spellStart"/>
      <w:r w:rsidR="009D11F8" w:rsidRPr="009D11F8">
        <w:rPr>
          <w:bCs/>
        </w:rPr>
        <w:t>Unia</w:t>
      </w:r>
      <w:proofErr w:type="spellEnd"/>
      <w:r w:rsidR="009D11F8" w:rsidRPr="009D11F8">
        <w:rPr>
          <w:bCs/>
        </w:rPr>
        <w:t xml:space="preserve"> as an inter-federal institution that combats discrimination, including racial discrimination.</w:t>
      </w:r>
      <w:r w:rsidR="009D11F8">
        <w:t xml:space="preserve"> </w:t>
      </w:r>
      <w:r>
        <w:t>(</w:t>
      </w:r>
      <w:hyperlink r:id="rId14" w:history="1">
        <w:r w:rsidRPr="00C36EAF">
          <w:rPr>
            <w:rStyle w:val="Hyperlink"/>
          </w:rPr>
          <w:t>CERD/C/BEL/CO/20-22</w:t>
        </w:r>
      </w:hyperlink>
      <w:r w:rsidR="005D58F6">
        <w:rPr>
          <w:rStyle w:val="Hyperlink"/>
        </w:rPr>
        <w:t>,</w:t>
      </w:r>
      <w:r>
        <w:t xml:space="preserve"> paras</w:t>
      </w:r>
      <w:r w:rsidR="005D58F6">
        <w:t>.</w:t>
      </w:r>
      <w:r>
        <w:t xml:space="preserve"> 7-</w:t>
      </w:r>
      <w:r w:rsidR="009D11F8">
        <w:t>10</w:t>
      </w:r>
      <w:r>
        <w:t>)</w:t>
      </w:r>
      <w:r w:rsidR="005D58F6">
        <w:t>.</w:t>
      </w:r>
    </w:p>
    <w:p w14:paraId="287881FB" w14:textId="7F63554B" w:rsidR="00C47A50" w:rsidRPr="00C47A50" w:rsidRDefault="00C47A50" w:rsidP="00C47A50">
      <w:pPr>
        <w:widowControl w:val="0"/>
        <w:tabs>
          <w:tab w:val="left" w:pos="1216"/>
        </w:tabs>
        <w:autoSpaceDE w:val="0"/>
        <w:autoSpaceDN w:val="0"/>
        <w:spacing w:before="113" w:after="0" w:line="240" w:lineRule="auto"/>
        <w:ind w:right="108"/>
        <w:jc w:val="both"/>
      </w:pPr>
      <w:r>
        <w:t>U</w:t>
      </w:r>
      <w:r w:rsidRPr="00C47A50">
        <w:t xml:space="preserve">nder the Universal Periodic Review </w:t>
      </w:r>
      <w:r w:rsidR="005D58F6">
        <w:t xml:space="preserve">in 2021, </w:t>
      </w:r>
      <w:r>
        <w:t>Belgium</w:t>
      </w:r>
      <w:r w:rsidR="005D58F6">
        <w:t xml:space="preserve"> </w:t>
      </w:r>
      <w:r w:rsidRPr="00C47A50">
        <w:t>supported recommendations</w:t>
      </w:r>
      <w:r>
        <w:t xml:space="preserve"> to r</w:t>
      </w:r>
      <w:r w:rsidRPr="00C47A50">
        <w:t>atify the Optional Protocol to the Convention against Torture and Other Cruel, Inhuman or Degrading Treatment or Punishment</w:t>
      </w:r>
      <w:r>
        <w:t xml:space="preserve"> and establish</w:t>
      </w:r>
      <w:r w:rsidRPr="00C47A50">
        <w:t xml:space="preserve"> a national preventive mechanism to ensure the monitoring of all places where peopl</w:t>
      </w:r>
      <w:r w:rsidR="005D58F6">
        <w:t xml:space="preserve">e </w:t>
      </w:r>
      <w:proofErr w:type="gramStart"/>
      <w:r w:rsidR="005D58F6">
        <w:t>are deprived</w:t>
      </w:r>
      <w:proofErr w:type="gramEnd"/>
      <w:r w:rsidR="005D58F6">
        <w:t xml:space="preserve"> of their liberty </w:t>
      </w:r>
      <w:hyperlink r:id="rId15" w:history="1">
        <w:r w:rsidR="005D58F6" w:rsidRPr="005D58F6">
          <w:rPr>
            <w:rStyle w:val="Hyperlink"/>
          </w:rPr>
          <w:t>(A/HRC/48/8/Add1</w:t>
        </w:r>
      </w:hyperlink>
      <w:r w:rsidR="005D58F6" w:rsidRPr="005D58F6">
        <w:t>).</w:t>
      </w:r>
    </w:p>
    <w:p w14:paraId="321F49AF" w14:textId="7EAFF4CB" w:rsidR="005869D2" w:rsidRDefault="005869D2" w:rsidP="005869D2">
      <w:pPr>
        <w:widowControl w:val="0"/>
        <w:tabs>
          <w:tab w:val="left" w:pos="1216"/>
        </w:tabs>
        <w:autoSpaceDE w:val="0"/>
        <w:autoSpaceDN w:val="0"/>
        <w:spacing w:before="113" w:after="0" w:line="240" w:lineRule="auto"/>
        <w:ind w:right="108"/>
        <w:jc w:val="both"/>
        <w:rPr>
          <w:i/>
        </w:rPr>
      </w:pPr>
    </w:p>
    <w:p w14:paraId="3F4F0516" w14:textId="2B1D60FE" w:rsidR="000A564E" w:rsidRDefault="000A564E" w:rsidP="005869D2">
      <w:pPr>
        <w:widowControl w:val="0"/>
        <w:tabs>
          <w:tab w:val="left" w:pos="1216"/>
        </w:tabs>
        <w:autoSpaceDE w:val="0"/>
        <w:autoSpaceDN w:val="0"/>
        <w:spacing w:before="113" w:after="0" w:line="240" w:lineRule="auto"/>
        <w:ind w:right="108"/>
        <w:jc w:val="both"/>
        <w:rPr>
          <w:i/>
        </w:rPr>
      </w:pPr>
    </w:p>
    <w:p w14:paraId="211EAD91" w14:textId="77777777" w:rsidR="000A564E" w:rsidRPr="005869D2" w:rsidRDefault="000A564E" w:rsidP="005869D2">
      <w:pPr>
        <w:widowControl w:val="0"/>
        <w:tabs>
          <w:tab w:val="left" w:pos="1216"/>
        </w:tabs>
        <w:autoSpaceDE w:val="0"/>
        <w:autoSpaceDN w:val="0"/>
        <w:spacing w:before="113" w:after="0" w:line="240" w:lineRule="auto"/>
        <w:ind w:right="108"/>
        <w:jc w:val="both"/>
        <w:rPr>
          <w:i/>
        </w:rPr>
      </w:pPr>
    </w:p>
    <w:p w14:paraId="4F4B7F5C" w14:textId="3A83DC50" w:rsidR="0010323B" w:rsidRDefault="000A564E" w:rsidP="000A564E">
      <w:pPr>
        <w:pStyle w:val="Heading2"/>
        <w:tabs>
          <w:tab w:val="left" w:pos="544"/>
        </w:tabs>
        <w:spacing w:before="33"/>
        <w:jc w:val="both"/>
      </w:pPr>
      <w:bookmarkStart w:id="9" w:name="D._The_enabling_framework_for_civil_soci"/>
      <w:bookmarkEnd w:id="9"/>
      <w:r>
        <w:t xml:space="preserve">D. </w:t>
      </w:r>
      <w:r w:rsidR="0010323B">
        <w:t>The enabling framework for civil</w:t>
      </w:r>
      <w:r w:rsidR="0010323B">
        <w:rPr>
          <w:spacing w:val="-5"/>
        </w:rPr>
        <w:t xml:space="preserve"> </w:t>
      </w:r>
      <w:r w:rsidR="0010323B">
        <w:t>society</w:t>
      </w:r>
    </w:p>
    <w:p w14:paraId="1E61D7B9" w14:textId="05041058" w:rsidR="0010323B" w:rsidRPr="000A564E" w:rsidRDefault="000A564E" w:rsidP="000A564E">
      <w:pPr>
        <w:widowControl w:val="0"/>
        <w:tabs>
          <w:tab w:val="left" w:pos="1216"/>
        </w:tabs>
        <w:autoSpaceDE w:val="0"/>
        <w:autoSpaceDN w:val="0"/>
        <w:spacing w:before="120" w:after="0" w:line="240" w:lineRule="auto"/>
        <w:ind w:right="105"/>
        <w:jc w:val="both"/>
        <w:rPr>
          <w:i/>
        </w:rPr>
      </w:pPr>
      <w:r>
        <w:rPr>
          <w:i/>
        </w:rPr>
        <w:t xml:space="preserve">40. </w:t>
      </w:r>
      <w:r w:rsidR="0010323B" w:rsidRPr="000A564E">
        <w:rPr>
          <w:i/>
        </w:rPr>
        <w:t xml:space="preserve">Measures regarding the framework for civil society </w:t>
      </w:r>
      <w:proofErr w:type="spellStart"/>
      <w:r w:rsidR="0010323B" w:rsidRPr="000A564E">
        <w:rPr>
          <w:i/>
        </w:rPr>
        <w:t>organisations</w:t>
      </w:r>
      <w:proofErr w:type="spellEnd"/>
      <w:r w:rsidR="0010323B" w:rsidRPr="000A564E">
        <w:rPr>
          <w:i/>
        </w:rPr>
        <w:t xml:space="preserve"> (e.g. access to funding, registration rules, measures capable of affecting the public perception of civil society</w:t>
      </w:r>
      <w:bookmarkStart w:id="10" w:name="E._Initiatives_to_foster_a_rule_of_law_c"/>
      <w:bookmarkEnd w:id="10"/>
      <w:r w:rsidR="0010323B" w:rsidRPr="000A564E">
        <w:rPr>
          <w:i/>
        </w:rPr>
        <w:t xml:space="preserve"> </w:t>
      </w:r>
      <w:proofErr w:type="spellStart"/>
      <w:r w:rsidR="0010323B" w:rsidRPr="000A564E">
        <w:rPr>
          <w:i/>
        </w:rPr>
        <w:t>organisations</w:t>
      </w:r>
      <w:proofErr w:type="spellEnd"/>
      <w:r w:rsidR="0010323B" w:rsidRPr="000A564E">
        <w:rPr>
          <w:i/>
        </w:rPr>
        <w:t>,</w:t>
      </w:r>
      <w:r w:rsidR="0010323B" w:rsidRPr="000A564E">
        <w:rPr>
          <w:i/>
          <w:spacing w:val="-1"/>
        </w:rPr>
        <w:t xml:space="preserve"> </w:t>
      </w:r>
      <w:r w:rsidR="0010323B" w:rsidRPr="000A564E">
        <w:rPr>
          <w:i/>
        </w:rPr>
        <w:t>etc.)</w:t>
      </w:r>
    </w:p>
    <w:p w14:paraId="28EA8137" w14:textId="3FE4DA67" w:rsidR="005D58F6" w:rsidRPr="005D58F6" w:rsidRDefault="005D58F6" w:rsidP="005D58F6">
      <w:pPr>
        <w:widowControl w:val="0"/>
        <w:tabs>
          <w:tab w:val="left" w:pos="1216"/>
        </w:tabs>
        <w:autoSpaceDE w:val="0"/>
        <w:autoSpaceDN w:val="0"/>
        <w:spacing w:before="120" w:after="0" w:line="240" w:lineRule="auto"/>
        <w:ind w:right="105"/>
        <w:jc w:val="both"/>
        <w:rPr>
          <w:highlight w:val="cyan"/>
        </w:rPr>
      </w:pPr>
      <w:r w:rsidRPr="0002171A">
        <w:t xml:space="preserve">In its concluding observations, the Committee on the Elimination of Racial Discrimination reiterated its previous recommendation that </w:t>
      </w:r>
      <w:r>
        <w:t>Belgium</w:t>
      </w:r>
      <w:r w:rsidRPr="0002171A">
        <w:t xml:space="preserve"> amend its legislation to declare illegal and prohibit organizations that incite racial discrimination. It also recommend</w:t>
      </w:r>
      <w:r>
        <w:t>ed</w:t>
      </w:r>
      <w:r w:rsidRPr="0002171A">
        <w:t xml:space="preserve"> that </w:t>
      </w:r>
      <w:r>
        <w:t>Belgium</w:t>
      </w:r>
      <w:r w:rsidRPr="0002171A">
        <w:t xml:space="preserve"> consider including in its legislation a provision banning partie</w:t>
      </w:r>
      <w:r>
        <w:t>s that seek to curtail freedoms (</w:t>
      </w:r>
      <w:hyperlink r:id="rId16" w:history="1">
        <w:r w:rsidRPr="00C36EAF">
          <w:rPr>
            <w:rStyle w:val="Hyperlink"/>
          </w:rPr>
          <w:t>CERD/C/BEL/CO/20-22</w:t>
        </w:r>
      </w:hyperlink>
      <w:r>
        <w:rPr>
          <w:rStyle w:val="Hyperlink"/>
        </w:rPr>
        <w:t>,</w:t>
      </w:r>
      <w:r>
        <w:t xml:space="preserve"> paras. 20-21). </w:t>
      </w:r>
    </w:p>
    <w:p w14:paraId="2A866781" w14:textId="77777777" w:rsidR="005D58F6" w:rsidRDefault="005D58F6" w:rsidP="005D58F6">
      <w:pPr>
        <w:pStyle w:val="ListParagraph"/>
        <w:widowControl w:val="0"/>
        <w:tabs>
          <w:tab w:val="left" w:pos="1216"/>
        </w:tabs>
        <w:autoSpaceDE w:val="0"/>
        <w:autoSpaceDN w:val="0"/>
        <w:spacing w:before="120" w:after="0" w:line="240" w:lineRule="auto"/>
        <w:ind w:left="1216" w:right="105"/>
        <w:contextualSpacing w:val="0"/>
        <w:jc w:val="both"/>
        <w:rPr>
          <w:i/>
        </w:rPr>
      </w:pPr>
    </w:p>
    <w:p w14:paraId="6D6E22AA" w14:textId="77777777" w:rsidR="0010323B" w:rsidRDefault="0010323B" w:rsidP="0010323B"/>
    <w:p w14:paraId="3534D144" w14:textId="77777777" w:rsidR="00DC5A8B" w:rsidRDefault="00DC5A8B"/>
    <w:sectPr w:rsidR="00DC5A8B">
      <w:footerReference w:type="default" r:id="rId1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BB932" w16cex:dateUtc="2022-02-07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28356A" w16cid:durableId="25ABB9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05733" w14:textId="77777777" w:rsidR="000203DD" w:rsidRDefault="000203DD" w:rsidP="0010323B">
      <w:pPr>
        <w:spacing w:after="0" w:line="240" w:lineRule="auto"/>
      </w:pPr>
      <w:r>
        <w:separator/>
      </w:r>
    </w:p>
  </w:endnote>
  <w:endnote w:type="continuationSeparator" w:id="0">
    <w:p w14:paraId="6E9C34BE" w14:textId="77777777" w:rsidR="000203DD" w:rsidRDefault="000203DD" w:rsidP="0010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EDB21" w14:textId="77777777" w:rsidR="00826EAF" w:rsidRDefault="008D0680">
    <w:pPr>
      <w:pStyle w:val="BodyText"/>
      <w:spacing w:before="0" w:line="14" w:lineRule="auto"/>
      <w:ind w:left="0" w:firstLine="0"/>
      <w:rPr>
        <w:i w:val="0"/>
        <w:sz w:val="20"/>
      </w:rPr>
    </w:pPr>
    <w:r>
      <w:rPr>
        <w:noProof/>
      </w:rPr>
      <mc:AlternateContent>
        <mc:Choice Requires="wps">
          <w:drawing>
            <wp:anchor distT="0" distB="0" distL="114300" distR="114300" simplePos="0" relativeHeight="251659264" behindDoc="1" locked="0" layoutInCell="1" allowOverlap="1" wp14:anchorId="24C7D36A" wp14:editId="210658C9">
              <wp:simplePos x="0" y="0"/>
              <wp:positionH relativeFrom="page">
                <wp:posOffset>3718560</wp:posOffset>
              </wp:positionH>
              <wp:positionV relativeFrom="page">
                <wp:posOffset>9958705</wp:posOffset>
              </wp:positionV>
              <wp:extent cx="144780" cy="160020"/>
              <wp:effectExtent l="3810" t="0" r="3810" b="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9604D" w14:textId="6AC7D697" w:rsidR="00826EAF" w:rsidRDefault="008D0680">
                          <w:pPr>
                            <w:spacing w:line="235" w:lineRule="exact"/>
                            <w:ind w:left="60"/>
                            <w:rPr>
                              <w:sz w:val="21"/>
                            </w:rPr>
                          </w:pPr>
                          <w:r>
                            <w:fldChar w:fldCharType="begin"/>
                          </w:r>
                          <w:r>
                            <w:rPr>
                              <w:sz w:val="21"/>
                            </w:rPr>
                            <w:instrText xml:space="preserve"> PAGE </w:instrText>
                          </w:r>
                          <w:r>
                            <w:fldChar w:fldCharType="separate"/>
                          </w:r>
                          <w:r w:rsidR="00C91F2F">
                            <w:rPr>
                              <w:noProof/>
                              <w:sz w:val="21"/>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C7D36A" id="_x0000_t202" coordsize="21600,21600" o:spt="202" path="m,l,21600r21600,l21600,xe">
              <v:stroke joinstyle="miter"/>
              <v:path gradientshapeok="t" o:connecttype="rect"/>
            </v:shapetype>
            <v:shape id="Zone de texte 4" o:spid="_x0000_s1026" type="#_x0000_t202" style="position:absolute;margin-left:292.8pt;margin-top:784.15pt;width:11.4pt;height:12.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" filled="f" stroked="f">
              <v:textbox inset="0,0,0,0">
                <w:txbxContent>
                  <w:p w14:paraId="7509604D" w14:textId="6AC7D697" w:rsidR="00826EAF" w:rsidRDefault="008D0680">
                    <w:pPr>
                      <w:spacing w:line="235" w:lineRule="exact"/>
                      <w:ind w:left="60"/>
                      <w:rPr>
                        <w:sz w:val="21"/>
                      </w:rPr>
                    </w:pPr>
                    <w:r>
                      <w:fldChar w:fldCharType="begin"/>
                    </w:r>
                    <w:r>
                      <w:rPr>
                        <w:sz w:val="21"/>
                      </w:rPr>
                      <w:instrText xml:space="preserve"> PAGE </w:instrText>
                    </w:r>
                    <w:r>
                      <w:fldChar w:fldCharType="separate"/>
                    </w:r>
                    <w:r w:rsidR="00C91F2F">
                      <w:rPr>
                        <w:noProof/>
                        <w:sz w:val="21"/>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42F90" w14:textId="77777777" w:rsidR="000203DD" w:rsidRDefault="000203DD" w:rsidP="0010323B">
      <w:pPr>
        <w:spacing w:after="0" w:line="240" w:lineRule="auto"/>
      </w:pPr>
      <w:r>
        <w:separator/>
      </w:r>
    </w:p>
  </w:footnote>
  <w:footnote w:type="continuationSeparator" w:id="0">
    <w:p w14:paraId="4AEA9160" w14:textId="77777777" w:rsidR="000203DD" w:rsidRDefault="000203DD" w:rsidP="0010323B">
      <w:pPr>
        <w:spacing w:after="0" w:line="240" w:lineRule="auto"/>
      </w:pPr>
      <w:r>
        <w:continuationSeparator/>
      </w:r>
    </w:p>
  </w:footnote>
  <w:footnote w:id="1">
    <w:p w14:paraId="1DFF6C6C" w14:textId="77777777" w:rsidR="0010323B" w:rsidRDefault="0010323B" w:rsidP="0010323B">
      <w:pPr>
        <w:pStyle w:val="FootnoteText"/>
      </w:pPr>
      <w:r>
        <w:rPr>
          <w:rStyle w:val="FootnoteReference"/>
        </w:rPr>
        <w:footnoteRef/>
      </w:r>
      <w:r>
        <w:t xml:space="preserve"> </w:t>
      </w:r>
      <w:r>
        <w:rPr>
          <w:sz w:val="18"/>
        </w:rPr>
        <w:t xml:space="preserve">Cf. the website of the European Court of Auditors: </w:t>
      </w:r>
      <w:hyperlink r:id="rId1">
        <w:r>
          <w:rPr>
            <w:color w:val="0563C1"/>
            <w:sz w:val="18"/>
            <w:u w:val="single" w:color="0563C1"/>
          </w:rPr>
          <w:t>https://www.eca.europa.eu/en/Pages/SupremeAuditInstitutions.aspx#</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022E3D85"/>
    <w:multiLevelType w:val="hybridMultilevel"/>
    <w:tmpl w:val="BE822F10"/>
    <w:lvl w:ilvl="0" w:tplc="03124208">
      <w:start w:val="1"/>
      <w:numFmt w:val="upperRoman"/>
      <w:lvlText w:val="%1."/>
      <w:lvlJc w:val="left"/>
      <w:pPr>
        <w:ind w:left="464" w:hanging="348"/>
      </w:pPr>
      <w:rPr>
        <w:rFonts w:ascii="Carlito" w:eastAsia="Carlito" w:hAnsi="Carlito" w:cs="Carlito" w:hint="default"/>
        <w:b/>
        <w:bCs/>
        <w:spacing w:val="0"/>
        <w:w w:val="100"/>
        <w:sz w:val="22"/>
        <w:szCs w:val="22"/>
        <w:lang w:val="en-US" w:eastAsia="en-US" w:bidi="ar-SA"/>
      </w:rPr>
    </w:lvl>
    <w:lvl w:ilvl="1" w:tplc="B54EE138">
      <w:numFmt w:val="bullet"/>
      <w:lvlText w:val="•"/>
      <w:lvlJc w:val="left"/>
      <w:pPr>
        <w:ind w:left="1347" w:hanging="348"/>
      </w:pPr>
      <w:rPr>
        <w:rFonts w:hint="default"/>
        <w:lang w:val="en-US" w:eastAsia="en-US" w:bidi="ar-SA"/>
      </w:rPr>
    </w:lvl>
    <w:lvl w:ilvl="2" w:tplc="E53A8D22">
      <w:numFmt w:val="bullet"/>
      <w:lvlText w:val="•"/>
      <w:lvlJc w:val="left"/>
      <w:pPr>
        <w:ind w:left="2235" w:hanging="348"/>
      </w:pPr>
      <w:rPr>
        <w:rFonts w:hint="default"/>
        <w:lang w:val="en-US" w:eastAsia="en-US" w:bidi="ar-SA"/>
      </w:rPr>
    </w:lvl>
    <w:lvl w:ilvl="3" w:tplc="D3AE651C">
      <w:numFmt w:val="bullet"/>
      <w:lvlText w:val="•"/>
      <w:lvlJc w:val="left"/>
      <w:pPr>
        <w:ind w:left="3123" w:hanging="348"/>
      </w:pPr>
      <w:rPr>
        <w:rFonts w:hint="default"/>
        <w:lang w:val="en-US" w:eastAsia="en-US" w:bidi="ar-SA"/>
      </w:rPr>
    </w:lvl>
    <w:lvl w:ilvl="4" w:tplc="3BBAC48E">
      <w:numFmt w:val="bullet"/>
      <w:lvlText w:val="•"/>
      <w:lvlJc w:val="left"/>
      <w:pPr>
        <w:ind w:left="4011" w:hanging="348"/>
      </w:pPr>
      <w:rPr>
        <w:rFonts w:hint="default"/>
        <w:lang w:val="en-US" w:eastAsia="en-US" w:bidi="ar-SA"/>
      </w:rPr>
    </w:lvl>
    <w:lvl w:ilvl="5" w:tplc="1460F44C">
      <w:numFmt w:val="bullet"/>
      <w:lvlText w:val="•"/>
      <w:lvlJc w:val="left"/>
      <w:pPr>
        <w:ind w:left="4899" w:hanging="348"/>
      </w:pPr>
      <w:rPr>
        <w:rFonts w:hint="default"/>
        <w:lang w:val="en-US" w:eastAsia="en-US" w:bidi="ar-SA"/>
      </w:rPr>
    </w:lvl>
    <w:lvl w:ilvl="6" w:tplc="C8F87BF6">
      <w:numFmt w:val="bullet"/>
      <w:lvlText w:val="•"/>
      <w:lvlJc w:val="left"/>
      <w:pPr>
        <w:ind w:left="5787" w:hanging="348"/>
      </w:pPr>
      <w:rPr>
        <w:rFonts w:hint="default"/>
        <w:lang w:val="en-US" w:eastAsia="en-US" w:bidi="ar-SA"/>
      </w:rPr>
    </w:lvl>
    <w:lvl w:ilvl="7" w:tplc="2D48B25A">
      <w:numFmt w:val="bullet"/>
      <w:lvlText w:val="•"/>
      <w:lvlJc w:val="left"/>
      <w:pPr>
        <w:ind w:left="6675" w:hanging="348"/>
      </w:pPr>
      <w:rPr>
        <w:rFonts w:hint="default"/>
        <w:lang w:val="en-US" w:eastAsia="en-US" w:bidi="ar-SA"/>
      </w:rPr>
    </w:lvl>
    <w:lvl w:ilvl="8" w:tplc="B6FC5796">
      <w:numFmt w:val="bullet"/>
      <w:lvlText w:val="•"/>
      <w:lvlJc w:val="left"/>
      <w:pPr>
        <w:ind w:left="7563" w:hanging="348"/>
      </w:pPr>
      <w:rPr>
        <w:rFonts w:hint="default"/>
        <w:lang w:val="en-US" w:eastAsia="en-US" w:bidi="ar-SA"/>
      </w:rPr>
    </w:lvl>
  </w:abstractNum>
  <w:abstractNum w:abstractNumId="2" w15:restartNumberingAfterBreak="0">
    <w:nsid w:val="1E473478"/>
    <w:multiLevelType w:val="hybridMultilevel"/>
    <w:tmpl w:val="18363370"/>
    <w:lvl w:ilvl="0" w:tplc="C01C8A2E">
      <w:start w:val="1"/>
      <w:numFmt w:val="upperLetter"/>
      <w:lvlText w:val="%1."/>
      <w:lvlJc w:val="left"/>
      <w:pPr>
        <w:ind w:left="543" w:hanging="428"/>
      </w:pPr>
      <w:rPr>
        <w:rFonts w:ascii="Carlito" w:eastAsia="Carlito" w:hAnsi="Carlito" w:cs="Carlito" w:hint="default"/>
        <w:b/>
        <w:bCs/>
        <w:i/>
        <w:w w:val="100"/>
        <w:sz w:val="22"/>
        <w:szCs w:val="22"/>
        <w:lang w:val="en-US" w:eastAsia="en-US" w:bidi="ar-SA"/>
      </w:rPr>
    </w:lvl>
    <w:lvl w:ilvl="1" w:tplc="88048418">
      <w:numFmt w:val="bullet"/>
      <w:lvlText w:val="•"/>
      <w:lvlJc w:val="left"/>
      <w:pPr>
        <w:ind w:left="1419" w:hanging="428"/>
      </w:pPr>
      <w:rPr>
        <w:rFonts w:hint="default"/>
        <w:lang w:val="en-US" w:eastAsia="en-US" w:bidi="ar-SA"/>
      </w:rPr>
    </w:lvl>
    <w:lvl w:ilvl="2" w:tplc="293E9DD4">
      <w:numFmt w:val="bullet"/>
      <w:lvlText w:val="•"/>
      <w:lvlJc w:val="left"/>
      <w:pPr>
        <w:ind w:left="2299" w:hanging="428"/>
      </w:pPr>
      <w:rPr>
        <w:rFonts w:hint="default"/>
        <w:lang w:val="en-US" w:eastAsia="en-US" w:bidi="ar-SA"/>
      </w:rPr>
    </w:lvl>
    <w:lvl w:ilvl="3" w:tplc="5E401BA0">
      <w:numFmt w:val="bullet"/>
      <w:lvlText w:val="•"/>
      <w:lvlJc w:val="left"/>
      <w:pPr>
        <w:ind w:left="3179" w:hanging="428"/>
      </w:pPr>
      <w:rPr>
        <w:rFonts w:hint="default"/>
        <w:lang w:val="en-US" w:eastAsia="en-US" w:bidi="ar-SA"/>
      </w:rPr>
    </w:lvl>
    <w:lvl w:ilvl="4" w:tplc="143ECEEA">
      <w:numFmt w:val="bullet"/>
      <w:lvlText w:val="•"/>
      <w:lvlJc w:val="left"/>
      <w:pPr>
        <w:ind w:left="4059" w:hanging="428"/>
      </w:pPr>
      <w:rPr>
        <w:rFonts w:hint="default"/>
        <w:lang w:val="en-US" w:eastAsia="en-US" w:bidi="ar-SA"/>
      </w:rPr>
    </w:lvl>
    <w:lvl w:ilvl="5" w:tplc="963CFEC6">
      <w:numFmt w:val="bullet"/>
      <w:lvlText w:val="•"/>
      <w:lvlJc w:val="left"/>
      <w:pPr>
        <w:ind w:left="4939" w:hanging="428"/>
      </w:pPr>
      <w:rPr>
        <w:rFonts w:hint="default"/>
        <w:lang w:val="en-US" w:eastAsia="en-US" w:bidi="ar-SA"/>
      </w:rPr>
    </w:lvl>
    <w:lvl w:ilvl="6" w:tplc="BBDC8F96">
      <w:numFmt w:val="bullet"/>
      <w:lvlText w:val="•"/>
      <w:lvlJc w:val="left"/>
      <w:pPr>
        <w:ind w:left="5819" w:hanging="428"/>
      </w:pPr>
      <w:rPr>
        <w:rFonts w:hint="default"/>
        <w:lang w:val="en-US" w:eastAsia="en-US" w:bidi="ar-SA"/>
      </w:rPr>
    </w:lvl>
    <w:lvl w:ilvl="7" w:tplc="0D4C8B74">
      <w:numFmt w:val="bullet"/>
      <w:lvlText w:val="•"/>
      <w:lvlJc w:val="left"/>
      <w:pPr>
        <w:ind w:left="6699" w:hanging="428"/>
      </w:pPr>
      <w:rPr>
        <w:rFonts w:hint="default"/>
        <w:lang w:val="en-US" w:eastAsia="en-US" w:bidi="ar-SA"/>
      </w:rPr>
    </w:lvl>
    <w:lvl w:ilvl="8" w:tplc="5060DCA6">
      <w:numFmt w:val="bullet"/>
      <w:lvlText w:val="•"/>
      <w:lvlJc w:val="left"/>
      <w:pPr>
        <w:ind w:left="7579" w:hanging="428"/>
      </w:pPr>
      <w:rPr>
        <w:rFonts w:hint="default"/>
        <w:lang w:val="en-US" w:eastAsia="en-US" w:bidi="ar-SA"/>
      </w:rPr>
    </w:lvl>
  </w:abstractNum>
  <w:abstractNum w:abstractNumId="3" w15:restartNumberingAfterBreak="0">
    <w:nsid w:val="2A163DC8"/>
    <w:multiLevelType w:val="hybridMultilevel"/>
    <w:tmpl w:val="5A8280F6"/>
    <w:lvl w:ilvl="0" w:tplc="D7EE4EB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FA040ACA">
      <w:numFmt w:val="bullet"/>
      <w:lvlText w:val="•"/>
      <w:lvlJc w:val="left"/>
      <w:pPr>
        <w:ind w:left="1419" w:hanging="428"/>
      </w:pPr>
      <w:rPr>
        <w:rFonts w:hint="default"/>
        <w:lang w:val="en-US" w:eastAsia="en-US" w:bidi="ar-SA"/>
      </w:rPr>
    </w:lvl>
    <w:lvl w:ilvl="2" w:tplc="5F860EA2">
      <w:numFmt w:val="bullet"/>
      <w:lvlText w:val="•"/>
      <w:lvlJc w:val="left"/>
      <w:pPr>
        <w:ind w:left="2299" w:hanging="428"/>
      </w:pPr>
      <w:rPr>
        <w:rFonts w:hint="default"/>
        <w:lang w:val="en-US" w:eastAsia="en-US" w:bidi="ar-SA"/>
      </w:rPr>
    </w:lvl>
    <w:lvl w:ilvl="3" w:tplc="AB28B02A">
      <w:numFmt w:val="bullet"/>
      <w:lvlText w:val="•"/>
      <w:lvlJc w:val="left"/>
      <w:pPr>
        <w:ind w:left="3179" w:hanging="428"/>
      </w:pPr>
      <w:rPr>
        <w:rFonts w:hint="default"/>
        <w:lang w:val="en-US" w:eastAsia="en-US" w:bidi="ar-SA"/>
      </w:rPr>
    </w:lvl>
    <w:lvl w:ilvl="4" w:tplc="C968360A">
      <w:numFmt w:val="bullet"/>
      <w:lvlText w:val="•"/>
      <w:lvlJc w:val="left"/>
      <w:pPr>
        <w:ind w:left="4059" w:hanging="428"/>
      </w:pPr>
      <w:rPr>
        <w:rFonts w:hint="default"/>
        <w:lang w:val="en-US" w:eastAsia="en-US" w:bidi="ar-SA"/>
      </w:rPr>
    </w:lvl>
    <w:lvl w:ilvl="5" w:tplc="967A4CE6">
      <w:numFmt w:val="bullet"/>
      <w:lvlText w:val="•"/>
      <w:lvlJc w:val="left"/>
      <w:pPr>
        <w:ind w:left="4939" w:hanging="428"/>
      </w:pPr>
      <w:rPr>
        <w:rFonts w:hint="default"/>
        <w:lang w:val="en-US" w:eastAsia="en-US" w:bidi="ar-SA"/>
      </w:rPr>
    </w:lvl>
    <w:lvl w:ilvl="6" w:tplc="8CBCB18C">
      <w:numFmt w:val="bullet"/>
      <w:lvlText w:val="•"/>
      <w:lvlJc w:val="left"/>
      <w:pPr>
        <w:ind w:left="5819" w:hanging="428"/>
      </w:pPr>
      <w:rPr>
        <w:rFonts w:hint="default"/>
        <w:lang w:val="en-US" w:eastAsia="en-US" w:bidi="ar-SA"/>
      </w:rPr>
    </w:lvl>
    <w:lvl w:ilvl="7" w:tplc="FAC01978">
      <w:numFmt w:val="bullet"/>
      <w:lvlText w:val="•"/>
      <w:lvlJc w:val="left"/>
      <w:pPr>
        <w:ind w:left="6699" w:hanging="428"/>
      </w:pPr>
      <w:rPr>
        <w:rFonts w:hint="default"/>
        <w:lang w:val="en-US" w:eastAsia="en-US" w:bidi="ar-SA"/>
      </w:rPr>
    </w:lvl>
    <w:lvl w:ilvl="8" w:tplc="60AC028C">
      <w:numFmt w:val="bullet"/>
      <w:lvlText w:val="•"/>
      <w:lvlJc w:val="left"/>
      <w:pPr>
        <w:ind w:left="7579" w:hanging="428"/>
      </w:pPr>
      <w:rPr>
        <w:rFonts w:hint="default"/>
        <w:lang w:val="en-US" w:eastAsia="en-US" w:bidi="ar-SA"/>
      </w:rPr>
    </w:lvl>
  </w:abstractNum>
  <w:abstractNum w:abstractNumId="4" w15:restartNumberingAfterBreak="0">
    <w:nsid w:val="2C3A6C55"/>
    <w:multiLevelType w:val="hybridMultilevel"/>
    <w:tmpl w:val="9AAEB278"/>
    <w:lvl w:ilvl="0" w:tplc="3072FAD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5D480DEA">
      <w:numFmt w:val="bullet"/>
      <w:lvlText w:val="•"/>
      <w:lvlJc w:val="left"/>
      <w:pPr>
        <w:ind w:left="1419" w:hanging="428"/>
      </w:pPr>
      <w:rPr>
        <w:rFonts w:hint="default"/>
        <w:lang w:val="en-US" w:eastAsia="en-US" w:bidi="ar-SA"/>
      </w:rPr>
    </w:lvl>
    <w:lvl w:ilvl="2" w:tplc="1250EF86">
      <w:numFmt w:val="bullet"/>
      <w:lvlText w:val="•"/>
      <w:lvlJc w:val="left"/>
      <w:pPr>
        <w:ind w:left="2299" w:hanging="428"/>
      </w:pPr>
      <w:rPr>
        <w:rFonts w:hint="default"/>
        <w:lang w:val="en-US" w:eastAsia="en-US" w:bidi="ar-SA"/>
      </w:rPr>
    </w:lvl>
    <w:lvl w:ilvl="3" w:tplc="6D3E7E14">
      <w:numFmt w:val="bullet"/>
      <w:lvlText w:val="•"/>
      <w:lvlJc w:val="left"/>
      <w:pPr>
        <w:ind w:left="3179" w:hanging="428"/>
      </w:pPr>
      <w:rPr>
        <w:rFonts w:hint="default"/>
        <w:lang w:val="en-US" w:eastAsia="en-US" w:bidi="ar-SA"/>
      </w:rPr>
    </w:lvl>
    <w:lvl w:ilvl="4" w:tplc="52087190">
      <w:numFmt w:val="bullet"/>
      <w:lvlText w:val="•"/>
      <w:lvlJc w:val="left"/>
      <w:pPr>
        <w:ind w:left="4059" w:hanging="428"/>
      </w:pPr>
      <w:rPr>
        <w:rFonts w:hint="default"/>
        <w:lang w:val="en-US" w:eastAsia="en-US" w:bidi="ar-SA"/>
      </w:rPr>
    </w:lvl>
    <w:lvl w:ilvl="5" w:tplc="401858BC">
      <w:numFmt w:val="bullet"/>
      <w:lvlText w:val="•"/>
      <w:lvlJc w:val="left"/>
      <w:pPr>
        <w:ind w:left="4939" w:hanging="428"/>
      </w:pPr>
      <w:rPr>
        <w:rFonts w:hint="default"/>
        <w:lang w:val="en-US" w:eastAsia="en-US" w:bidi="ar-SA"/>
      </w:rPr>
    </w:lvl>
    <w:lvl w:ilvl="6" w:tplc="912840B4">
      <w:numFmt w:val="bullet"/>
      <w:lvlText w:val="•"/>
      <w:lvlJc w:val="left"/>
      <w:pPr>
        <w:ind w:left="5819" w:hanging="428"/>
      </w:pPr>
      <w:rPr>
        <w:rFonts w:hint="default"/>
        <w:lang w:val="en-US" w:eastAsia="en-US" w:bidi="ar-SA"/>
      </w:rPr>
    </w:lvl>
    <w:lvl w:ilvl="7" w:tplc="C3B80610">
      <w:numFmt w:val="bullet"/>
      <w:lvlText w:val="•"/>
      <w:lvlJc w:val="left"/>
      <w:pPr>
        <w:ind w:left="6699" w:hanging="428"/>
      </w:pPr>
      <w:rPr>
        <w:rFonts w:hint="default"/>
        <w:lang w:val="en-US" w:eastAsia="en-US" w:bidi="ar-SA"/>
      </w:rPr>
    </w:lvl>
    <w:lvl w:ilvl="8" w:tplc="DBF28D26">
      <w:numFmt w:val="bullet"/>
      <w:lvlText w:val="•"/>
      <w:lvlJc w:val="left"/>
      <w:pPr>
        <w:ind w:left="7579" w:hanging="428"/>
      </w:pPr>
      <w:rPr>
        <w:rFonts w:hint="default"/>
        <w:lang w:val="en-US" w:eastAsia="en-US" w:bidi="ar-SA"/>
      </w:rPr>
    </w:lvl>
  </w:abstractNum>
  <w:abstractNum w:abstractNumId="5"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6" w15:restartNumberingAfterBreak="0">
    <w:nsid w:val="71077575"/>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num w:numId="1">
    <w:abstractNumId w:val="2"/>
  </w:num>
  <w:num w:numId="2">
    <w:abstractNumId w:val="4"/>
  </w:num>
  <w:num w:numId="3">
    <w:abstractNumId w:val="3"/>
  </w:num>
  <w:num w:numId="4">
    <w:abstractNumId w:val="0"/>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23B"/>
    <w:rsid w:val="000203DD"/>
    <w:rsid w:val="0002171A"/>
    <w:rsid w:val="00022BB5"/>
    <w:rsid w:val="00027651"/>
    <w:rsid w:val="000555F3"/>
    <w:rsid w:val="000A564E"/>
    <w:rsid w:val="0010323B"/>
    <w:rsid w:val="0014643B"/>
    <w:rsid w:val="001B22D6"/>
    <w:rsid w:val="001E56E8"/>
    <w:rsid w:val="00241B6B"/>
    <w:rsid w:val="002863A0"/>
    <w:rsid w:val="00312EE0"/>
    <w:rsid w:val="00386F77"/>
    <w:rsid w:val="003927CC"/>
    <w:rsid w:val="00402B49"/>
    <w:rsid w:val="005047FE"/>
    <w:rsid w:val="005518EF"/>
    <w:rsid w:val="00557484"/>
    <w:rsid w:val="005869D2"/>
    <w:rsid w:val="005C746F"/>
    <w:rsid w:val="005D00E4"/>
    <w:rsid w:val="005D58F6"/>
    <w:rsid w:val="00610A2B"/>
    <w:rsid w:val="00645BC9"/>
    <w:rsid w:val="00665FF8"/>
    <w:rsid w:val="00682D65"/>
    <w:rsid w:val="006D6B65"/>
    <w:rsid w:val="006F799D"/>
    <w:rsid w:val="00743118"/>
    <w:rsid w:val="007A202B"/>
    <w:rsid w:val="007D7596"/>
    <w:rsid w:val="007D7AEA"/>
    <w:rsid w:val="00851C00"/>
    <w:rsid w:val="0086796D"/>
    <w:rsid w:val="008C6853"/>
    <w:rsid w:val="008C6D56"/>
    <w:rsid w:val="008D0680"/>
    <w:rsid w:val="008F2408"/>
    <w:rsid w:val="00902515"/>
    <w:rsid w:val="009D11F8"/>
    <w:rsid w:val="009F7F5B"/>
    <w:rsid w:val="00AF02EB"/>
    <w:rsid w:val="00B40C3A"/>
    <w:rsid w:val="00B54C67"/>
    <w:rsid w:val="00B71709"/>
    <w:rsid w:val="00B72B9A"/>
    <w:rsid w:val="00BC4378"/>
    <w:rsid w:val="00BE603D"/>
    <w:rsid w:val="00C05C4A"/>
    <w:rsid w:val="00C36EAF"/>
    <w:rsid w:val="00C41996"/>
    <w:rsid w:val="00C42E0E"/>
    <w:rsid w:val="00C462D5"/>
    <w:rsid w:val="00C47A50"/>
    <w:rsid w:val="00C91F2F"/>
    <w:rsid w:val="00CA6E81"/>
    <w:rsid w:val="00CF2456"/>
    <w:rsid w:val="00CF514D"/>
    <w:rsid w:val="00D25E05"/>
    <w:rsid w:val="00D414B9"/>
    <w:rsid w:val="00D9075C"/>
    <w:rsid w:val="00DC5A8B"/>
    <w:rsid w:val="00E165B2"/>
    <w:rsid w:val="00E96E41"/>
    <w:rsid w:val="00EB73E1"/>
    <w:rsid w:val="00F30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91202"/>
  <w15:chartTrackingRefBased/>
  <w15:docId w15:val="{DF19106D-E580-4938-AC95-F14FB774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23B"/>
  </w:style>
  <w:style w:type="paragraph" w:styleId="Heading1">
    <w:name w:val="heading 1"/>
    <w:basedOn w:val="Normal"/>
    <w:link w:val="Heading1Char"/>
    <w:uiPriority w:val="9"/>
    <w:qFormat/>
    <w:rsid w:val="0010323B"/>
    <w:pPr>
      <w:widowControl w:val="0"/>
      <w:autoSpaceDE w:val="0"/>
      <w:autoSpaceDN w:val="0"/>
      <w:spacing w:after="0" w:line="240" w:lineRule="auto"/>
      <w:ind w:left="464" w:hanging="721"/>
      <w:outlineLvl w:val="0"/>
    </w:pPr>
    <w:rPr>
      <w:rFonts w:ascii="Carlito" w:eastAsia="Carlito" w:hAnsi="Carlito" w:cs="Carlito"/>
      <w:b/>
      <w:bCs/>
    </w:rPr>
  </w:style>
  <w:style w:type="paragraph" w:styleId="Heading2">
    <w:name w:val="heading 2"/>
    <w:basedOn w:val="Normal"/>
    <w:link w:val="Heading2Char"/>
    <w:uiPriority w:val="9"/>
    <w:unhideWhenUsed/>
    <w:qFormat/>
    <w:rsid w:val="0010323B"/>
    <w:pPr>
      <w:widowControl w:val="0"/>
      <w:autoSpaceDE w:val="0"/>
      <w:autoSpaceDN w:val="0"/>
      <w:spacing w:before="120" w:after="0" w:line="240" w:lineRule="auto"/>
      <w:ind w:left="544" w:hanging="428"/>
      <w:outlineLvl w:val="1"/>
    </w:pPr>
    <w:rPr>
      <w:rFonts w:ascii="Carlito" w:eastAsia="Carlito" w:hAnsi="Carlito" w:cs="Carlito"/>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323B"/>
    <w:rPr>
      <w:rFonts w:ascii="Carlito" w:eastAsia="Carlito" w:hAnsi="Carlito" w:cs="Carlito"/>
      <w:b/>
      <w:bCs/>
    </w:rPr>
  </w:style>
  <w:style w:type="character" w:customStyle="1" w:styleId="Heading2Char">
    <w:name w:val="Heading 2 Char"/>
    <w:basedOn w:val="DefaultParagraphFont"/>
    <w:link w:val="Heading2"/>
    <w:uiPriority w:val="9"/>
    <w:rsid w:val="0010323B"/>
    <w:rPr>
      <w:rFonts w:ascii="Carlito" w:eastAsia="Carlito" w:hAnsi="Carlito" w:cs="Carlito"/>
      <w:b/>
      <w:bCs/>
      <w:i/>
    </w:rPr>
  </w:style>
  <w:style w:type="paragraph" w:styleId="ListParagraph">
    <w:name w:val="List Paragraph"/>
    <w:basedOn w:val="Normal"/>
    <w:uiPriority w:val="34"/>
    <w:qFormat/>
    <w:rsid w:val="0010323B"/>
    <w:pPr>
      <w:ind w:left="720"/>
      <w:contextualSpacing/>
    </w:pPr>
  </w:style>
  <w:style w:type="paragraph" w:styleId="BodyText">
    <w:name w:val="Body Text"/>
    <w:basedOn w:val="Normal"/>
    <w:link w:val="BodyTextChar"/>
    <w:uiPriority w:val="1"/>
    <w:qFormat/>
    <w:rsid w:val="0010323B"/>
    <w:pPr>
      <w:widowControl w:val="0"/>
      <w:autoSpaceDE w:val="0"/>
      <w:autoSpaceDN w:val="0"/>
      <w:spacing w:before="120" w:after="0" w:line="240" w:lineRule="auto"/>
      <w:ind w:left="1215" w:hanging="361"/>
    </w:pPr>
    <w:rPr>
      <w:rFonts w:ascii="Carlito" w:eastAsia="Carlito" w:hAnsi="Carlito" w:cs="Carlito"/>
      <w:i/>
    </w:rPr>
  </w:style>
  <w:style w:type="character" w:customStyle="1" w:styleId="BodyTextChar">
    <w:name w:val="Body Text Char"/>
    <w:basedOn w:val="DefaultParagraphFont"/>
    <w:link w:val="BodyText"/>
    <w:uiPriority w:val="1"/>
    <w:rsid w:val="0010323B"/>
    <w:rPr>
      <w:rFonts w:ascii="Carlito" w:eastAsia="Carlito" w:hAnsi="Carlito" w:cs="Carlito"/>
      <w:i/>
    </w:rPr>
  </w:style>
  <w:style w:type="paragraph" w:styleId="FootnoteText">
    <w:name w:val="footnote text"/>
    <w:basedOn w:val="Normal"/>
    <w:link w:val="FootnoteTextChar"/>
    <w:uiPriority w:val="99"/>
    <w:semiHidden/>
    <w:unhideWhenUsed/>
    <w:rsid w:val="001032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0323B"/>
    <w:rPr>
      <w:sz w:val="20"/>
      <w:szCs w:val="20"/>
    </w:rPr>
  </w:style>
  <w:style w:type="character" w:styleId="FootnoteReference">
    <w:name w:val="footnote reference"/>
    <w:basedOn w:val="DefaultParagraphFont"/>
    <w:uiPriority w:val="99"/>
    <w:semiHidden/>
    <w:unhideWhenUsed/>
    <w:rsid w:val="0010323B"/>
    <w:rPr>
      <w:vertAlign w:val="superscript"/>
    </w:rPr>
  </w:style>
  <w:style w:type="table" w:styleId="TableGrid">
    <w:name w:val="Table Grid"/>
    <w:basedOn w:val="TableNormal"/>
    <w:rsid w:val="00902515"/>
    <w:pPr>
      <w:suppressAutoHyphens/>
      <w:spacing w:after="0" w:line="240" w:lineRule="atLeast"/>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18EF"/>
    <w:rPr>
      <w:color w:val="0563C1" w:themeColor="hyperlink"/>
      <w:u w:val="single"/>
    </w:rPr>
  </w:style>
  <w:style w:type="character" w:styleId="FollowedHyperlink">
    <w:name w:val="FollowedHyperlink"/>
    <w:basedOn w:val="DefaultParagraphFont"/>
    <w:uiPriority w:val="99"/>
    <w:semiHidden/>
    <w:unhideWhenUsed/>
    <w:rsid w:val="00AF02EB"/>
    <w:rPr>
      <w:color w:val="954F72" w:themeColor="followedHyperlink"/>
      <w:u w:val="single"/>
    </w:rPr>
  </w:style>
  <w:style w:type="paragraph" w:styleId="BalloonText">
    <w:name w:val="Balloon Text"/>
    <w:basedOn w:val="Normal"/>
    <w:link w:val="BalloonTextChar"/>
    <w:uiPriority w:val="99"/>
    <w:semiHidden/>
    <w:unhideWhenUsed/>
    <w:rsid w:val="00AF02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02EB"/>
    <w:rPr>
      <w:rFonts w:ascii="Segoe UI" w:hAnsi="Segoe UI" w:cs="Segoe UI"/>
      <w:sz w:val="18"/>
      <w:szCs w:val="18"/>
    </w:rPr>
  </w:style>
  <w:style w:type="character" w:styleId="CommentReference">
    <w:name w:val="annotation reference"/>
    <w:basedOn w:val="DefaultParagraphFont"/>
    <w:uiPriority w:val="99"/>
    <w:semiHidden/>
    <w:unhideWhenUsed/>
    <w:rsid w:val="00AF02EB"/>
    <w:rPr>
      <w:sz w:val="16"/>
      <w:szCs w:val="16"/>
    </w:rPr>
  </w:style>
  <w:style w:type="paragraph" w:styleId="CommentText">
    <w:name w:val="annotation text"/>
    <w:basedOn w:val="Normal"/>
    <w:link w:val="CommentTextChar"/>
    <w:uiPriority w:val="99"/>
    <w:semiHidden/>
    <w:unhideWhenUsed/>
    <w:rsid w:val="00AF02EB"/>
    <w:pPr>
      <w:spacing w:line="240" w:lineRule="auto"/>
    </w:pPr>
    <w:rPr>
      <w:sz w:val="20"/>
      <w:szCs w:val="20"/>
    </w:rPr>
  </w:style>
  <w:style w:type="character" w:customStyle="1" w:styleId="CommentTextChar">
    <w:name w:val="Comment Text Char"/>
    <w:basedOn w:val="DefaultParagraphFont"/>
    <w:link w:val="CommentText"/>
    <w:uiPriority w:val="99"/>
    <w:semiHidden/>
    <w:rsid w:val="00AF02EB"/>
    <w:rPr>
      <w:sz w:val="20"/>
      <w:szCs w:val="20"/>
    </w:rPr>
  </w:style>
  <w:style w:type="paragraph" w:styleId="CommentSubject">
    <w:name w:val="annotation subject"/>
    <w:basedOn w:val="CommentText"/>
    <w:next w:val="CommentText"/>
    <w:link w:val="CommentSubjectChar"/>
    <w:uiPriority w:val="99"/>
    <w:semiHidden/>
    <w:unhideWhenUsed/>
    <w:rsid w:val="00AF02EB"/>
    <w:rPr>
      <w:b/>
      <w:bCs/>
    </w:rPr>
  </w:style>
  <w:style w:type="character" w:customStyle="1" w:styleId="CommentSubjectChar">
    <w:name w:val="Comment Subject Char"/>
    <w:basedOn w:val="CommentTextChar"/>
    <w:link w:val="CommentSubject"/>
    <w:uiPriority w:val="99"/>
    <w:semiHidden/>
    <w:rsid w:val="00AF02EB"/>
    <w:rPr>
      <w:b/>
      <w:bCs/>
      <w:sz w:val="20"/>
      <w:szCs w:val="20"/>
    </w:rPr>
  </w:style>
  <w:style w:type="paragraph" w:styleId="Revision">
    <w:name w:val="Revision"/>
    <w:hidden/>
    <w:uiPriority w:val="99"/>
    <w:semiHidden/>
    <w:rsid w:val="005574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AT%2FC%2FBEL%2FCO%2F4&amp;Lang=en" TargetMode="External"/><Relationship Id="rId13" Type="http://schemas.openxmlformats.org/officeDocument/2006/relationships/hyperlink" Target="https://tbinternet.ohchr.org/_layouts/15/treatybodyexternal/Download.aspx?symbolno=CAT%2FC%2FBEL%2FCO%2F4&amp;Lang=en"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tbinternet.ohchr.org/_layouts/15/treatybodyexternal/Download.aspx?symbolno=CAT%2FC%2FBEL%2FCO%2F4&amp;Lang=e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binternet.ohchr.org/_layouts/15/treatybodyexternal/Download.aspx?symbolno=CERD/C/BEL/CO/20-22&amp;Lang=En"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docs.org/A/HRC/48/8/Add.1" TargetMode="External"/><Relationship Id="rId5" Type="http://schemas.openxmlformats.org/officeDocument/2006/relationships/webSettings" Target="webSettings.xml"/><Relationship Id="rId15" Type="http://schemas.openxmlformats.org/officeDocument/2006/relationships/hyperlink" Target="https://undocs.org/A/HRC/48/8/Add.1" TargetMode="External"/><Relationship Id="rId10" Type="http://schemas.openxmlformats.org/officeDocument/2006/relationships/hyperlink" Target="https://tbinternet.ohchr.org/_layouts/15/treatybodyexternal/Download.aspx?symbolno=CERD/C/BEL/CO/20-22&amp;Lang=E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AT%2FC%2FBEL%2FCO%2F4&amp;Lang=en" TargetMode="External"/><Relationship Id="rId14" Type="http://schemas.openxmlformats.org/officeDocument/2006/relationships/hyperlink" Target="https://tbinternet.ohchr.org/_layouts/15/treatybodyexternal/Download.aspx?symbolno=CERD/C/BEL/CO/20-22&amp;Lang=E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ca.europa.eu/en/Pages/SupremeAuditInstitution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2FEC8-221A-46C2-8EBD-8B52044D1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4</cp:revision>
  <dcterms:created xsi:type="dcterms:W3CDTF">2022-02-07T15:02:00Z</dcterms:created>
  <dcterms:modified xsi:type="dcterms:W3CDTF">2022-02-07T15:52:00Z</dcterms:modified>
</cp:coreProperties>
</file>